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AMÉRICO LUZ</w:t>
      </w:r>
    </w:p>
    <w:p/>
    <w:p>
      <w:r>
        <w:t xml:space="preserve">EXPORTAÇÃO — ABATIMENTO DA QUOTA DE CONTRIBUIÇÃO RECOLHIDA AO IBC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resta superada nesta Corte, conforme entendimento consagrado em iterativa jurisprudência no sentido de que na exportação de café cru, o valor correspondente à quota de contribuição, instituída pelo Decreto 2.295/96, não se inclui na base de cálculo do ICMS. Lembro para exemplificar os recursos especiais: 3.893 - Relator Ministro JOSÉ DE JESUS e 12.344 - Relator Ministro AMÉRICO LUZ. Ac. de 05-02-1992 DJ de 9-3-1992 Arquivo do EMFOR - STJ/714 NO MESMO SENTIDO: "Rec. Esp. nº 10.202 - STJ 2ª Tr. Rel. Ministro AMÉRICO LUZ, ac. de 20-5-91", in "EMFOR", Nº 521.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operações tributáveis relativas à exportação de café em grão, definida a base de cálculo do ICMS como o valor líquido faturado, exclui-se o valor correspondente à quota de contribuição devida ao IBC.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2026-10-26T07:02:12.851Z</dcterms:created>
  <dcterms:modified xsi:type="dcterms:W3CDTF">2026-10-26T07:02:12.851Z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