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AMÉRICO LUZ</w:t>
      </w:r>
    </w:p>
    <w:p/>
    <w:p>
      <w:r>
        <w:t xml:space="preserve">EXPORTAÇÃO — ABATIMENTO DA QUOTA DE CONTRIBUIÇÃO RECOLHIDA AO IBC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resta superada nesta Corte, conforme entendimento consagrado em iterativa jurisprudência no sentido de que na exportação de café cru, o valor correspondente à quota de contribuição, instituída pelo Decreto 2.295/96, não se inclui na base de cálculo do ICMS. Lembro para exemplificar os recursos especiais: 3.893 - Relator Ministro JOSÉ DE JESUS e 12.344 - Relator Ministro AMÉRICO LUZ. Ac. de 05-02-1992 DJ de 9-3-1992 Arquivo do EMFOR - STJ/714 NO MESMO SENTIDO: "Rec. Esp. nº 10.202 - STJ 2ª Tr. Rel. Ministro AMÉRICO LUZ, ac. de 20-5-91", in "EMFOR", Nº 521.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operações tributáveis relativas à exportação de café em grão, definida a base de cálculo do ICMS como o valor líquido faturado, exclui-se o valor correspondente à quota de contribuição devida ao IBC.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2026-07-28T01:51:15.986Z</dcterms:created>
  <dcterms:modified xsi:type="dcterms:W3CDTF">2026-07-28T01:51:15.986Z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