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95.236</w:t>
      </w:r>
    </w:p>
    <w:p>
      <w:r>
        <w:rPr>
          <w:b/>
          <w:bCs/>
        </w:rPr>
        <w:t xml:space="preserve">Relator: </w:t>
      </w:r>
      <w:r>
        <w:t xml:space="preserve">CUNHA PEIXOTO</w:t>
      </w:r>
    </w:p>
    <w:p/>
    <w:p>
      <w:r>
        <w:t xml:space="preserve">INEXISTÊNCIA DE INCIDÊNCIA NA PRIMEIRA OPERAÇÃO — SE HÁ CRÉDITO A SER COMPENSADO NA SAÍDA DO PRODUTO INDUSTRIALIZADO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&lt;&lt;... O fato do Convênio nº 77 ter &lt;&lt;diferido&gt;&gt; (isto é, &lt;&lt;adiado&gt;&gt;), o momento do recolhimento do ICM devido pela venda do produto ao industrial não interfere com o mecanismo de sua arrecadação para o último a carga tributária que, legalmente, incide sobre aquele que lhe vende o produto. - Em havendo incidência na venda do produto ao industrial, esse pode recolher o ICM por aquele; mas, ante a não-cumulatividade do imposto, continua titulado a creditar-se pelo valor que pagar a esse título. - ..................................................................................................................................................... &lt;&lt;... no que tange ao leite "in natura": em seu preço de venda tabelado, há uma presunção "juris et de jure" de inclusão da parcela correspondente ao ICM; e, se quem a paga é o industrial, este pode creditar-se de seu valor, quando da comercialização subsequente do mesmo leite.&gt;&gt; - Reformando a sentença de primeiro grau, a Câmara julgadora concedeu a segurança para autorizar o creditamento. - Tal decisão contraria a jurisprudência desta Corte no RE 95.236 MG, Relator CUNHA PEIXOTO, especificamente sobre leite "in natura". - Lê-se que: &lt;&lt;Na verdade, no momento da entrada do leite no estabelecimento industrial, que o aproveitará como matéria-prima, dando, assim, origem a novo ciclo econômico, não há considerar prévios recolhimentos do ICM, próprios de sua fase anterior. - Ora, se na aquisição originária da matéria-prima não houve coleta do imposto, evidente que não se pode falar em não-cumulatividade, quando o fisco exigiu, ao final, o pagamento do tributo sobre a mercadoria.&gt;&gt; (RTJ 106/297/298). - No mesmo sentido, no RE 98.568 - SP, Relator Ministro OSCAR CORRÊA ( RTJ 107, 817), e RE 94.913 - SP, Relator Ministro CORDEIRO GUERRA. (DJU 01-10-82). - A jurisprudência orientou-se, portanto, no sentido de que a postergação da incidência não poderia gerar crédito capaz de eliminá-la. - É o que anota IVES GANDRA DA SILVA MARTINS, acentuando: &lt;&lt;A orientação jurisprudencial para os casos de diferimento não poderia deixar de refletir a melhor interpretação sobre a matéria, na medida em que reconhecendo aquela sistemática, não autorizou o crédito de ICM não cobrável, que impediria a cobrança do ICM diferido. (Direito Empresarial , 1985. 65)&gt;&gt;. - Conheço do recurso e lhe dou provimento, para restabelecer a sentença de primeiro grau. Ac. de 04-03-1986 Revista Trimestral de Jurisprudência, Vol. 118 (Dezembro/86 - Pág. 1.054. EMFOR 473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Inexistindo obrigação tributária na primeira operação, não há crédito do imposto a ser compensado no momento da saída do produto industrializado.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2026-06-17T14:07:32.235Z</dcterms:created>
  <dcterms:modified xsi:type="dcterms:W3CDTF">2026-06-17T14:07:32.235Z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