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35.846</w:t>
      </w:r>
    </w:p>
    <w:p/>
    <w:p>
      <w:r>
        <w:t xml:space="preserve">TRANSFERÊNCIA DE CRÉDITO — QUANDO ADQUIRE O DIREITO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exportador adquire o direito de transferência de crédito do ICMS quando realiza a exportação do produto e não ao estocar a matéria-prima. Referência: Cód. Trib. Nacional, art. 97, III. Decreto-Lei nº 406, de 31-12-68, arts. 1º, I, e 3º. REsp 35.846 - RS (1ª T. 01-09-93 - DJ 04-11-93). REsp 27.761 - RS (1ª T. 06-10-93 - DJ 08-11-93). REsp 29.285 - RS (2ª T. 10-11-93 - DJ 29-11-93). REsp 27.394 - RS (2ª T. 18-04-94 - DJ 01-08-94). Primeira Seção, na sessão ordinária de 14-3-1995 DJU em 23-3-1995, pág. 6.730 EMFOR - Nº 555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2026-06-17T15:17:07.455Z</dcterms:created>
  <dcterms:modified xsi:type="dcterms:W3CDTF">2026-06-17T15:17:07.455Z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