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TAXA DE MELHORAMENTO DE PORTOS</w:t>
      </w:r>
    </w:p>
    <w:p>
      <w:r>
        <w:rPr>
          <w:i/>
          <w:iCs/>
          <w:color w:val="666666"/>
        </w:rPr>
        <w:t xml:space="preserve">IMPOSTO DE IMPORTAÇÃO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SE INCIDE SOBRE O VALOR DE SAÍDA OU SOBRE O PREÇO DE VENDA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Dispõe o Decreto-lei nº 406, de 31 de dezembro de 1968, que o ICM tem como fato gerador a saída de mercadoria do estabelecimento comercial, industrial ou produtor (art. 1º, I) e que sua base de cálculo é o valor da operação de que decorrer a saída da mercadoria (art. 2º, I). Assim, não resta a mesma dúvida, o ICM incide sobre o valor da mercadoria no dia da sua saída e não pelo preço de sua venda pelo comerciante, industrial ou produtor. No momento da saída ocorre o fato gerador da obrigação tributária. Com razão, acentuou o MM. Juiz a quo, em sua bem lançada sentença. Ac. de 26-02-1992 DJ de 11-5-1992 Arquivo do EMFOR - STJ/688 EMFOR 525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ICM incide sobre o valor da mercadoria no dia de sua saída e não pelo preço de sua venda pelo comerciante, industrial ou produtor.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2026-09-11T00:12:58.631Z</dcterms:created>
  <dcterms:modified xsi:type="dcterms:W3CDTF">2026-09-11T00:12:58.631Z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