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Apelação 79.842/3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AIRTON MAIA</w:t>
      </w:r>
    </w:p>
    <w:p/>
    <w:p>
      <w:r>
        <w:t xml:space="preserve">SE PARA ESTA É SUFICIENTE O DESLOCAMENTO FÍSICO DA MERCADORIA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entende que em casos que tais não incide o fato gerador, conforme o relato do Min. RAFAEL MAYER, do STF, transcrito pelo d. Procurador de Justiça, a "litterae": "Os atos internos, os graus de processamento no interior do estabelecimento não podem ser elementos de circulação econômica e jurídica, pois são simples atos físicos ou materiais do processo produtivo. - Em complementado esse conceito constitucional, a lei complementar (Dec.-lei 406) põe como aspecto dominante do fato gerador do ICM a saída da mercadoria para incorporar-se na dinâmica da economia de circulação e do consumo. - Sem que ocorra a saída da mercadoria do estabelecimento, ainda que seja ficta nos estritos moldes do art. 1º do Dec.-lei 406, ou da entrada no estabelecimento de mercadoria importada não se terá o aspecto material e temporal do fato gerador do ICM. - Por isso é que a mesma lei complementar considera contribuinte do imposto o comerciante, industrial ou produtor que promove a saída da mercadoria ou a importa (art. 6º, conotação que deve prevalecer no exercício, pelo Estado, da faculdade de considerar, como autônomo, cada estabelecimento do contribuinte (art. 6º, parágrafo 2º). - Não pode, portanto, o Estado considerar como estabelecimento autônomo a unidade empresarial, em determinado estágio produtivo, que não tem por missão promover a saída, pois não é saída o simples degrau no processo interno de produção ("in" RTJ 105/134)". Ac. de 08-06-1993 VENCIDO O DES. ARTUR OSCAR DE OLIVEIRA DEDA Revista dos Tribunais - Março de 1994 - Vol. 701 - Pág. 149 NO MESMO SENTIDO: Apelação nº 79.842/3, Tr. Just. Minas Gerais - 3ª C., Relator: Desembargador AIRTON MAIA.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deslocamento de matéria-prima em processo de industrialização de um estabelecimento para outro de propriedade do mesmo contribuinte não configura o fato gerador de circulação econômica ou jurídica de produto.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2026-09-10T23:21:49.910Z</dcterms:created>
  <dcterms:modified xsi:type="dcterms:W3CDTF">2026-09-10T23:21:49.910Z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