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/>
    <w:p>
      <w:r>
        <w:t xml:space="preserve">CONCESSÃO EM RAZÃO DE PROJETO DE INTERESSE NACIONAL — CONVÊNIO POSTERIOR - SE PODE REVOGÁ-LO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Estando em apreciação projeto de interesse nacional, concedida a isenção de impostos, em razão do próprio interesse, não pode convênio interestadual revogar tal isenção, porquanto o projeto não se circunscreve tão-somente aos interesses regionais. Ademais sobreexiste o interesse enquanto não findo o projeto. - Razão de tal entendimento, que é o dominante de eg. 1ª Turma, destoando do Exmo. Sr. Ministro Relator, provejo o recurso. Ac. de 20-02-1991 Rev. Sup. Tribunal de Justiça - Janeiro de 1992 - Nº 29 - Pág. 346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concedida a isenção em razão de projeto de interesse nacional, dito interesse não fica sob o jogo do interesse estadual, mais que o convênio estadual sendo posterior, não pode alterar situação jurídica consolidada.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2026-10-26T02:34:00.512Z</dcterms:created>
  <dcterms:modified xsi:type="dcterms:W3CDTF">2026-10-26T02:34:00.512Z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