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13.947</w:t>
      </w:r>
    </w:p>
    <w:p/>
    <w:p>
      <w:r>
        <w:t xml:space="preserve">REVOGAÇÃO — PRINCÍPIO DA ANUALIDADE - SE A ELA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princípio constitucional da anualidade (§ 29 do art.153 da CF) não se aplica à revogação de isenção do ICM. Referência: - CF/46 - art. 141, § 34; - CF/69 - arts. 153, § 29; 23, § 6º; - Lei Complementar nº 24/75; - Lei nº 5.172/66 - arts. 104, "caput" e inciso III, 175, I:178 (inclusive com a nova redação dada pela Lei Complementar nº 24/75); - Súmula 544; MS 13.947, 3ª T., 17.05.66, Rel. PK, RTJ 39/64; RE 97.456, 1ª T., 26.10.82, Rel. SM, Em. 1.280/1767, DJ de 17.12.82; RE 97.455, 2ª T., 10.12.82, Rel. MA, Em. 1.293/665, DJ de 06.05.83; RE 99.430, 1ª T., 01.03.83, Rel. SM, Em. 1.287/715, DJ de 18.03.83; RE 99.431, 2ª T., 18.03.83, Rel. DF, Em. 1.287/871, DJ de 06.05.83. Aprovada em Sessão de 17 de outubro de 1984.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2026-06-17T15:20:41.771Z</dcterms:created>
  <dcterms:modified xsi:type="dcterms:W3CDTF">2026-06-17T15:20:41.771Z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