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94.177</w:t>
      </w:r>
    </w:p>
    <w:p>
      <w:r>
        <w:rPr>
          <w:b/>
          <w:bCs/>
        </w:rPr>
        <w:t xml:space="preserve">Julgado em: </w:t>
      </w:r>
      <w:r>
        <w:t xml:space="preserve">25/11/1985</w:t>
      </w:r>
    </w:p>
    <w:p/>
    <w:p>
      <w:r>
        <w:t xml:space="preserve">DIREITO DE CRÉDITO NA OPERAÇÃO SEGUINTE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Arrimadas na doutrina segundo a qual, definindo-se a isenção como causa excludente do crédito tributário, a consequência necessária é que o tributo isento equivale, para todos os efeitos legais, a tributo pago, as Turmas desta Corte firmaram o entendimento de que: "Havendo isenção do ICM na operação inicial, o crédito do mencionado imposto é inarrecadável, sob pena de tornar-se fictícia a isenção, uma vez o tributo incidira: por inteiro, sobre o produto industrializado, e não apenas sobre o valor acrescido pela industrialização". (AI (AgRg) ... 82.674-2, relatado pelo Ministro SOARES MUÑOZ. - Este entendimento se consolidou no Plenário da Casa, no julgamento dos ERE nº 94.177, relator o Ministro DJACI FALCÃO, "in verbis": "Imposto sobre circulação de mercadoria. Havendo isenção na importação de matéria-prima, há o direito de creditar-se do valor correspondente, na fase de saída do produto industrializado. Inc. V, do § 4º, do art. 1º do Decreto-lei nº 406/68 (na vedação da Lei Complementar nº 04/69) e art. 23, inc. II, da Const. Federal. - O acórdão recorrido, ao dissentir desse entendimento, malfere a lei federal. - Conheço do recurso e lhe dou provimento, para conceder o mandado de segurança. Julgado em 26-11-1985 Revista Trimestral de Jurisprudência. Vol. 116 - Pág. 1.254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isenção de matéria-prima, cabe o crédito do respectivo valor na fase de saída do produto industrializado. Constituição, art. 23, II, Decreto-lei 406/68, art. 1º, § 4º.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2026-10-26T02:40:29.777Z</dcterms:created>
  <dcterms:modified xsi:type="dcterms:W3CDTF">2026-10-26T02:40:29.777Z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