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TAXA DE MELHORAMENTO DE PORTOS</w:t>
      </w:r>
    </w:p>
    <w:p>
      <w:r>
        <w:rPr>
          <w:i/>
          <w:iCs/>
          <w:color w:val="666666"/>
        </w:rPr>
        <w:t xml:space="preserve">IMPOSTO DE IMPORTAÇÃO</w:t>
      </w:r>
    </w:p>
    <w:p/>
    <w:p>
      <w:r>
        <w:rPr>
          <w:b/>
          <w:bCs/>
        </w:rPr>
        <w:t xml:space="preserve">Recurso: </w:t>
      </w:r>
      <w:r>
        <w:t xml:space="preserve">RE 94.177</w:t>
      </w:r>
    </w:p>
    <w:p>
      <w:r>
        <w:rPr>
          <w:b/>
          <w:bCs/>
        </w:rPr>
        <w:t xml:space="preserve">Julgado em: </w:t>
      </w:r>
      <w:r>
        <w:t xml:space="preserve">25/11/1985</w:t>
      </w:r>
    </w:p>
    <w:p/>
    <w:p>
      <w:r>
        <w:t xml:space="preserve">DIREITO DE CRÉDITO NA OPERAÇÃO SEGUINTE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Arrimadas na doutrina segundo a qual, definindo-se a isenção como causa excludente do crédito tributário, a consequência necessária é que o tributo isento equivale, para todos os efeitos legais, a tributo pago, as Turmas desta Corte firmaram o entendimento de que: "Havendo isenção do ICM na operação inicial, o crédito do mencionado imposto é inarrecadável, sob pena de tornar-se fictícia a isenção, uma vez o tributo incidira: por inteiro, sobre o produto industrializado, e não apenas sobre o valor acrescido pela industrialização". (AI (AgRg) ... 82.674-2, relatado pelo Ministro SOARES MUÑOZ. - Este entendimento se consolidou no Plenário da Casa, no julgamento dos ERE nº 94.177, relator o Ministro DJACI FALCÃO, "in verbis": "Imposto sobre circulação de mercadoria. Havendo isenção na importação de matéria-prima, há o direito de creditar-se do valor correspondente, na fase de saída do produto industrializado. Inc. V, do § 4º, do art. 1º do Decreto-lei nº 406/68 (na vedação da Lei Complementar nº 04/69) e art. 23, inc. II, da Const. Federal. - O acórdão recorrido, ao dissentir desse entendimento, malfere a lei federal. - Conheço do recurso e lhe dou provimento, para conceder o mandado de segurança. Julgado em 26-11-1985 Revista Trimestral de Jurisprudência. Vol. 116 - Pág. 1.254 EMFOR 458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Havendo isenção de matéria-prima, cabe o crédito do respectivo valor na fase de saída do produto industrializado. Constituição, art. 23, II, Decreto-lei 406/68, art. 1º, § 4º.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Trimestral de Jurisprudência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2026-06-17T14:12:00.108Z</dcterms:created>
  <dcterms:modified xsi:type="dcterms:W3CDTF">2026-06-17T14:12:00.108Z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