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94.177</w:t>
      </w:r>
    </w:p>
    <w:p>
      <w:r>
        <w:rPr>
          <w:b/>
          <w:bCs/>
        </w:rPr>
        <w:t xml:space="preserve">Julgado em: </w:t>
      </w:r>
      <w:r>
        <w:t xml:space="preserve">25/11/1985</w:t>
      </w:r>
    </w:p>
    <w:p/>
    <w:p>
      <w:r>
        <w:t xml:space="preserve">DIREITO DE CRÉDITO NA OPERAÇÃO SEGUINTE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Arrimadas na doutrina segundo a qual, definindo-se a isenção como causa excludente do crédito tributário, a consequência necessária é que o tributo isento equivale, para todos os efeitos legais, a tributo pago, as Turmas desta Corte firmaram o entendimento de que: "Havendo isenção do ICM na operação inicial, o crédito do mencionado imposto é inarrecadável, sob pena de tornar-se fictícia a isenção, uma vez o tributo incidira: por inteiro, sobre o produto industrializado, e não apenas sobre o valor acrescido pela industrialização". (AI (AgRg) ... 82.674-2, relatado pelo Ministro SOARES MUÑOZ. - Este entendimento se consolidou no Plenário da Casa, no julgamento dos ERE nº 94.177, relator o Ministro DJACI FALCÃO, "in verbis": "Imposto sobre circulação de mercadoria. Havendo isenção na importação de matéria-prima, há o direito de creditar-se do valor correspondente, na fase de saída do produto industrializado. Inc. V, do § 4º, do art. 1º do Decreto-lei nº 406/68 (na vedação da Lei Complementar nº 04/69) e art. 23, inc. II, da Const. Federal. - O acórdão recorrido, ao dissentir desse entendimento, malfere a lei federal. - Conheço do recurso e lhe dou provimento, para conceder o mandado de segurança. Julgado em 26-11-1985 Revista Trimestral de Jurisprudência. Vol. 116 - Pág. 1.254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isenção de matéria-prima, cabe o crédito do respectivo valor na fase de saída do produto industrializado. Constituição, art. 23, II, Decreto-lei 406/68, art. 1º, § 4º.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2026-09-10T22:17:44.578Z</dcterms:created>
  <dcterms:modified xsi:type="dcterms:W3CDTF">2026-09-10T22:17:44.578Z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