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Julgado em: </w:t>
      </w:r>
      <w:r>
        <w:t xml:space="preserve">10/09/1986</w:t>
      </w:r>
    </w:p>
    <w:p/>
    <w:p>
      <w:r>
        <w:t xml:space="preserve">GALERIA DE ARTE INTERMEDIÁRIA — PROMOÇÃO DESTA - SE SOBRE A VENDA INCIDE O TRIBUTO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indiscutível que a venda, por particular não comerciante, industrial ou produtor, de coisa móvel integrante do seu patrimônio, configura circulação de mercadoria capaz de determinar a incidência do ICM. - O seu objeto não constitui mercadoria no significado jurídico da expressão, que é o de bem móvel precipuamente destinado à venda por aquele que o possui por tê-lo produzido, fabricado ou adquirido com a finalidade da revenda. - Por outro lado, o proprietário que coloca à venda bem de seu patrimônio não se torna, por esse fato, comerciante (qualidade que pressupõe a prática habitual do comércio) e não é contribuinte do ICM. - Recai este, nos termos do art. 23, II da Constituição, sobre «operações relativas à circulação de mercadorias realizadas por produtores, industriais e comerciantes» e seu fato gerador é, precipuamente, a saída de mercadoria do estabelecimento comercial, industrial ou produtor (Dec.-Lei nº 406 de 1968, art. 1, I). - Não se pode pensar em incidência de ICM sobre operação cujo objeto não é mercadoria e em que não há saída de estabelecimento a não ser num sentido puramente material, por se tratar de venda de um particular para outro. - Por outro lado, se a Impetrante atua como intermediária em operações dessa natureza isso não significa que tais operações, apenas por esse fato, passem a ser sujeitas à incidência do ICM. - É verdade que a Impetrante tem, como um de seus objetos sociais, o exercício do comércio, e que exerce este último em caráter habitual, o que a caracteriza como comerciante. - Mas é também verdade, por outro lado, que entre seus objetos sociais inclui-se igualmente a pr estação de serviço a terceiros, sob a forma de «casa de leilões» (contrato social constante dos autos). - E ao exercer essa atividade, a Impetrante não age como comerciante e sim como prestadora de serviço, sujeitando-se, nessa qualidade, ao ISS, nos termos do art. 8, do Dec.-Lei nº 406 de 1968, os serviços em questão, de intermediação na venda de objetos de terceiros, estão previsto na lista que acompanha o referido dispositivo item 01. - A interferência da Impetrante nessas operações não as desnatura como vendas feitas de particular para particular. - A Impetrante nada vende: limita-se a representar o vendedor a procurá-lo do operador. - Pouco importa que, para tanto, utilize os serviços de um leiloeiro público, por ser a realização de leilões privativa de tais entidades. - O leiloeiro atua como intermediário de segundo grau, constituído com a implícita autorização do comitente. - Absurdo, portanto, "data venia", o entendimento da autoridade fazendária no sentido de ser devido o ICM sobre tais operações, fundada, basicamente, no fato de ser a Impetrante comerciante e de haver, em tais operações, saída de mercadoria do estabelecimento daquela. - A saída em questão é puramente física, pois a coisa vendida não pertence ao titular do estabelecimento nem este é o vencedor dela. - Pouco importa, finalmente, a não discriminação, no mandado de segurança, das operações concretas sobre as quais não incide o ICM, no movimento global do estabelecimento da impetrante, e a própria impossibilidade de discriminá-las sem a realização de uma perícia contábil. Não atentou a sentença para o caráter preventivo do pedido que não diz respeito a operações ou lançamentos fiscais específicos já ocorrido, e sim a ameaça de operações dessa natureza virem a ser objeto de cobrança do tributo que sobre elas não incide. - A maior ou menor dificuldade em se estabelecer em cada caso a incidência ou não do ICM será problema de fiscalização, em nada dev endo influir no exame da questão aqui discutida, que é puramente de direito. - Essas razões do provimento no apelo. Julgado em 11-09-1986 Arquivo do Ementário Forense, TJ/1.515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incide ICM sobre a venda, em leilão público, de objetos de arte pertencentes a particulares não comerciantes, industriais ou produtores, promovida por galeria de arte na qualidade de intermediária, mediante o recebimento de uma comissão sobre o preço alcançado.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2026-10-26T04:56:21.389Z</dcterms:created>
  <dcterms:modified xsi:type="dcterms:W3CDTF">2026-10-26T04:56:21.389Z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