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MELHORAMENTO DE PORTOS</w:t>
      </w:r>
    </w:p>
    <w:p>
      <w:r>
        <w:rPr>
          <w:i/>
          <w:iCs/>
          <w:color w:val="666666"/>
        </w:rPr>
        <w:t xml:space="preserve">IMPOSTO DE IMPORTAÇÃO</w:t>
      </w:r>
    </w:p>
    <w:p/>
    <w:p>
      <w:r>
        <w:rPr>
          <w:b/>
          <w:bCs/>
        </w:rPr>
        <w:t xml:space="preserve">Recurso: </w:t>
      </w:r>
      <w:r>
        <w:t xml:space="preserve">RE 76.023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AMARAL SANTOS</w:t>
      </w:r>
    </w:p>
    <w:p>
      <w:r>
        <w:rPr>
          <w:b/>
          <w:bCs/>
        </w:rPr>
        <w:t xml:space="preserve">Julgado em: </w:t>
      </w:r>
      <w:r>
        <w:t xml:space="preserve">25/08/1986</w:t>
      </w:r>
    </w:p>
    <w:p/>
    <w:p>
      <w:r>
        <w:t xml:space="preserve">QUANDO A ELE NÃO SE SUJEITA NEM O DONO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requerentes... tão somente alienaram alguns bens da família, sem que se dediquem a habitual mercancia. - No julgamento do RE nº 76.023 - PE - O STF decidiu que não incide ICM sobre as vendas feitas por leiloeiro, de bens móveis de particulares, que não sejam comerciantes, industriais ou produtores - R.T.J. vol. 58 - pág. 475 (*). - ......................................................................................................................................... - O ICM só é cobrado de comerciantes, industriais ou produtores e de outros contribuintes definidos em lei. - .......................................................................................................................................... - A questão da origem da mercadoria jamais foi relevante para se definir a incidência do ICM. Comerciante é aquele que faz do comércio sua atividade costumeira. A Galeria de Arte não se confunde com o exercício da profissão regulamentada e restrita de leiloeiro. A firma não promove a saída das mercadorias do seu estabelecimento na condição de leiloeiro. Se a Galeria, no exercício de seus atos habituais de comércio, recorre aos serviços de leiloeiros públicos para promover a venda de objetos, a sua condição de contribuinte não se altera. - .......................................................................................................................................... - A legislação tributária não cuida dos mecanismos de vendas ou dos meios de que se valem os contribuintes para promoverem a circulação de mercadorias. Saindo a mercadoria de uma firma comercial, seja mediante oferta pública, leilão ou simples tradição sem discussão quanto ao preço do bem fica caracterizado o ato de comércio e a incidência do tributo. - ............................................................................................................................................. - Quando os referidos bens do impetrante, na condição de mercadorias, saíram do estabelecimento comercial da comissária, por estas vendidas, ficou caracterizado o fato gerador do ICM e a incidência do tributo teve lugar. Mas, o tributo incide sobre a Galeria de Arte, com estabelecimento comercial que é. Não sobre os interessados. Julgado em 26-08-1986 Arquivo do Ementário Forense, TJ/727 NO MESMO SENTIDO: Rec. Extr. nº 71.827 - PE, 1ª T., Relator: Ministro AMARAL SANTOS, ac. de 14.12.71, "in" "EMFOR", Nº 293. (*) "In" "EMFOR", Nº 280.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ICM não incide sobre as vendas feitas por leiloeiro, de bens móveis de particulares. Mas se o particular, não comerciante, consignou seus bens a uma galeria de arte e esta contratou leiloeiro para a venda, incide o tributo sobre a galeria de arte, como estabelecimento comercial que é, não sobre os donos da mercadoria.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2026-10-26T04:29:40.945Z</dcterms:created>
  <dcterms:modified xsi:type="dcterms:W3CDTF">2026-10-26T04:29:40.945Z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