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MELHORAMENTO DE PORTOS</w:t>
      </w:r>
    </w:p>
    <w:p>
      <w:r>
        <w:rPr>
          <w:i/>
          <w:iCs/>
          <w:color w:val="666666"/>
        </w:rPr>
        <w:t xml:space="preserve">IMPOSTO DE IMPORTAÇÃO</w:t>
      </w:r>
    </w:p>
    <w:p/>
    <w:p/>
    <w:p>
      <w:r>
        <w:t xml:space="preserve">ESTADO ONDE TEM DOMICÍLIO O COMPRADOR — QUANDO NÃO PODE COBRAR ICM DA FILIAL DO VENDEDOR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Como bem ressaltou o eminente Ministro PEÇANHA MARTINS, "a matéria é pacífica nesta Turma: O Estado onde tem domicílio o comprador não pode cobrar o ICM da filial do vendedor quando a venda é feita pela matriz". Ac. de 28-08-1991 Revista do Superior Tribunal de Justiça - Novembro 1991 - Nº 27 - Pág. 39. EMFOR 529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Estado onde tem domicílio o comprador não pode cobrar o ICM da filial do vendedor quando a venda é feita pela matriz.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2026-06-17T14:03:28.955Z</dcterms:created>
  <dcterms:modified xsi:type="dcterms:W3CDTF">2026-06-17T14:03:28.955Z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