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24/08/1986</w:t>
      </w:r>
    </w:p>
    <w:p/>
    <w:p>
      <w:r>
        <w:t xml:space="preserve">INCIDÊNCIA SOBRE OS PROPRIETÁRIOS DE TERRENOS ACIMA DE DETERMINADA ÁREA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resta dúvida de que o Município pode e deve dispor sobre o ordenamento urbano, por se tratar de questão de seu peculiar interesse, dando à propriedade um conceito social e, com isso, estabelecer alíquota progressiva do imposto para terrenos vagos, de acordo com a área. - Entretanto, o que ele não pode fazer é fixar um adicional a penalizar os proprietários de terrenos acima de determinada área, sem qualquer progressão, pois isso fere o princípio da isonomia constitucionalmente garantido. - Assim, esse adicional cria uma intolerável desigualdade, pois atinge, indistintamente, os que possuem lotes de 600 m2 e os grandes latifundiários urbanos, como foi dito no r. decisório recorrido. - Aliás, o absurdo torna-se ainda mais evidente se se considerar os lotes de 500 e de 501 m2 de área, esta última sujeita a um imposto duas vezes superior àquele. - Tudo isso evidencia, também, que a impetrada está tributando a riqueza, ou seja, está alterando a base de cálculo do imposto, que, nos termos do art. 33 do CTN, é o valor venal do imóvel, e não a sua extensão. - e também não se pode esquecer que o fato gerador do imposto discutido é a propriedade, o domínio útil ou a posse de imóvel urbano, de acordo com o art. 33 do mesmo estatuto. - Conclui-se, portanto, que a Municipalidade de Santo André, ao fazer os lançamentos impugnados, afastou-se das diretrizes traçadas pelo Código Tributário Nacional e pela Constituição Federal. - Isto posto, nega-se provim ento aos recursos para confirmar a r. sentença recorrida, por seus próprios e jurídicos fundamentos. - Custas na forma da lei. Julgado em 25-08-1986 Revista dos Tribunais. Vol. 611 - Pág. 106.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Município pode estabelecer alíquota progressiva do imposto para terrenos vagos, de acordo com a área. - Entretanto, não pode fixar um adicional à penalizar os proprietários de terrenos acima de determinada área, sem qualquer progressão, pois isso fere o princípio da isonomia e afasta-se das diretrizes do Código Tributário Nacional, que define como base de cálculo do referido tributo o valor venal do imóvel, e não sua extensão.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2026-07-27T23:51:06.014Z</dcterms:created>
  <dcterms:modified xsi:type="dcterms:W3CDTF">2026-07-27T23:51:06.014Z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