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apelação 266.697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>
      <w:r>
        <w:rPr>
          <w:b/>
          <w:bCs/>
        </w:rPr>
        <w:t xml:space="preserve">Julgado em: </w:t>
      </w:r>
      <w:r>
        <w:t xml:space="preserve">14/05/1987</w:t>
      </w:r>
    </w:p>
    <w:p/>
    <w:p>
      <w:r>
        <w:t xml:space="preserve">FALTA SE CONSTITUI INFRAÇÃO TRIBUTÁRIA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se conforma a recorrente com o acórdão que, reformando a sentença de primeiro grau, torna legal a cobrança do IPTU, pela Municipalidade, com acréscimo de 100% de multa pela falta de inscrição imobiliária. - Destaco do v. aresto impugnado: "No caso em foco, como já foi observado em outros casos assemelhados, não pode prevalecer o entendimento adotado na Uniformização de Jurisprudência, verificada na apelação nº 266.697, julgada por esta Corte, que teve por ilegal o acréscimo de 200% sobre o IPTU, por motivo de falta de "habite-se". É que tal acréscimo foi ditado por ilícito administrativo, enquanto que os destes autos decorre de ilícito fiscal. - A obrigação de inscrição imobiliária, desatendida pela recorrida, constitui obrigação tributária acessória (CTN art. 113 § 2º). Essa obrigação acessória, violada, converte-se em obrigação principal, no que se relaciona com a prevista penalidade pecuniária (CTN art. 113 § 3º). Portanto, no caso, é legítimo o lançamento do imposto em dobro, por sinal previsto na legislação municipal". - A hipótese já foi examinada nesta egrégia Turma por mais de uma vez, a exemplo do RE 104.955, relatado pelo eminente Ministro CORDEIRO GUERRA assim ementado: "Acréscimo de 100% do valor do imposto em virtude de falta de inscrição imobiliária configura sanção a ilícito administrativo, pois a falta de inscrição não impede ou dificulta a arrecadação do tributo de imóvel já cadastrado. - Somente as multas assecuratórias da arrecadação dos tributos se convertem em obrigação principal (§ 3º do art. 113 do CTN). - Aplicação do art. 3º do CTN. - Precedentes: RE 104.817 - 4 SP E RE 99.115 SP. - 1º RE não conhecido. - 2º RE conhecido, e, em parte, provido. (RTJ 114/875), e também no RE 113.104, Relator o eminente Ministro CARLOS MADEIRA, julgado em 15.05.87 que afirma: "A não inscrição da transferência do imóvel no cadastro da Prefeitura Municipal, não constitui infração tributária mas simples ilícito administrativo. Não cabe, portanto, o acréscimo de 100% do valor do imposto incidente sobre o imóvel". - Precedentes do STF. - Conhecido e provido o segundo recurso, "não conheço do primeiro". - Pelos fundamentos expostos nos precedentes acima, conheço do recurso e lhe dou provimento, para excluir da cobrança o acréscimo a título de sanção tributária. Ac. de 04-03-1988 Arquivo do STF - DJ 08.04.88 - Ementário nº 1496 - 4 Arquivo do EMFOR - STF/347 NO MESMO SENTIDO: Rec. Extr. nº 113.104-7 SP, STF, 2ª T, Relator: Ministro CARLOS MADEIRA, ac. de 15.05.1987, in "EMENTÁRIO FORENSE", Nº 473, st. INSCRIÇÃO DA TRANSFERÊNCIA DO IMÓVEL. EMFOR 492 EMENTA: - Sabendo-se que somente a lei pode aumentar tributos, é ilegítima a majoração pelo Poder Executivo, através de decreto, mesmo sob o argumento de se tratar de mera elevação do valor venal dos imóveis. RESUMO DO ACÓRDÃO: - O entendimento consubstanciado na decisão recorrida - legalidade de decreto municipal que altera o valor venal de imóveis - colide de frente com a jurisprudência dominante nas Turmas que compõem a Seção de Direito Público, conforme dão conta os seguintes julgados: "Tributário. Imposto Predial e Territorial Urbano (IPTU). Base de cálculo. Majoração. Planta de valores genérica baixada por decreto. I - É ilegítima a majoração do valor venal do imóvel, mediante decreto do Poder Executivo, em montante superior ao apurado com aplicação do índice de correção monetária. Precedentes. II - Recurso especial - conhecido e provido" (REsp. nº 31.969-RS, Rel. Min. ANTÔNIO DE PÁDUA RIBEIRO, DJ de 6-2-1995). "Tributário. IPTU. Base de cálculo. Majoração por decreto. Impossibilidade. De acordo com o princípio da reserva legal, sendo privativa a Lei a majoração do tributo, esta resta ilegal quando se dá por decreto e em valor superior aos índices da correção monetária. Precedentes." (REsp. nº 30.205-RS, Rel. Min. AMÉRICO LUZ, DJ de 6-2-1995). "Tributário - IPTU - Majoração - Decreto - Valor venal do imóvel - Reserva legal. Somente a Lei pode aumentar tributos. É vedado ao Poder Executivo Municipal, a pretexto de rever valores venais de imóveis, aumentar indiretamente o IPTU." (REsp. nº 47.230-RS, Rel. Min. HUMBERTO GOMES DE BARROS, DJ de 6-6-1994). - Na linha dos precedentes colacionados, conheço do recurso e lhe dou provimento. Ac. de 03-05-1995 Revista do Sup. Tribunal de Justiça - Julho de 1995 - Nº 71 - Pág. 202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não inscrição imobiliária não constitui infração tributária mas tão só ilícito administrativo. - Somente as multas assecuratórias da arrecadação dos tributos se convertem em obrigação principal, § 3º art. 113 do CTN.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2026-07-27T23:53:34.032Z</dcterms:created>
  <dcterms:modified xsi:type="dcterms:W3CDTF">2026-07-27T23:53:34.032Z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