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>
      <w:r>
        <w:rPr>
          <w:b/>
          <w:bCs/>
        </w:rPr>
        <w:t xml:space="preserve">Recurso: </w:t>
      </w:r>
      <w:r>
        <w:t xml:space="preserve">MS 10.003</w:t>
      </w:r>
    </w:p>
    <w:p/>
    <w:p>
      <w:r>
        <w:t xml:space="preserve">PRODUTOS IMPORTADOS — INCIDÊNCIA - LEGITIMIDADE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estão isentos do imposto de consumo os produtos importados pelas cooperativas. Referência: - Decreto nº 22.239, de 19 de dezembro de 1932, art. 38; - Lei nº 3.520, de 30 de dezembro de 1958; - Decreto nº 45.422, de 12 de fevereiro de 1959 RMS 10.003, de 09.07.62; RMS 10.006, de 16.07.62; RMS 10.007, de 16.07.62. Súmula de Jurisprudência Predominante do Supremo Tribunal Federal - Aprovada em Sessão de 13-12-1963 - pág. 61 EMENTÁRIO FORENSE. Dezembro, 1964. Ano XVI. Nº 193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2026-09-11T00:24:48.094Z</dcterms:created>
  <dcterms:modified xsi:type="dcterms:W3CDTF">2026-09-11T00:24:48.094Z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