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26.176</w:t>
      </w:r>
    </w:p>
    <w:p/>
    <w:p>
      <w:r>
        <w:t xml:space="preserve">IMPORTAÇÃO — SE ESTÁ ISENTA DO TRIBUTO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importação de máquinas de costura está isenta de imposto de consumo. Referência: - Dec.-Lei nº 7.404, de 22.03.45; - Decreto nº 26.149, de 05.01.49, tab. A nº I, inc. 2º; - Lei nº 2.878, de 18.02.40, classe 34ª, artigo 1.831 ERE 26.176, de 08.11.63; ERE 24.102, de 22.08.58 (Rev. Trim. Jurisp. 7/108); ERE 24.829, de 22.08.58 (Rev. Trim. Jurisp., 7/333), ERE 25.282, de 23.08.57 (Rev. Trim. Jurisp., 3/19). Aprovada em Sessão de 13-12-1963 - pág. 115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2026-09-10T23:33:47.559Z</dcterms:created>
  <dcterms:modified xsi:type="dcterms:W3CDTF">2026-09-10T23:33:47.559Z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