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/>
    <w:p>
      <w:r>
        <w:t xml:space="preserve">02. REORGANIZA OS SERVIÇOS ADUANEIROS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Art. 44 - Toda mercadoria procedente do exterior por qualquer via, destinada a consumo ou a outro regime, sujeita ou não ao pagamento do imposto, deverá ser submetida a despacho aduaneiro, que será processado com base em declaração apresentada à repartição aduaneira no prazo e na forma prescritos em regulamento. Art. 45 - As declarações do importador subsistem para quaisquer efeitos fiscais, ainda quando o despacho seja interrompido e a mercadoria abandonada. Art. 46 - Além da declaração de que trata o art. 44 deste Decreto-lei e de outros documentos previstos em leis ou regulamentos, serão exigidas, para o processamento do despacho aduaneiro, a prova de posse ou propriedade da mercadoria e a fatura comercial, com as exceções que estabelecer o regulamento. § 1° - O conhecimento aéreo poderá equiparar-se à fatura comercial, se contiver as indicações de quantidade, espécie e valor das mercadorias que lhe correspondam. § 2° - O regulamento disporá sobre dispensa de visto consular na fatura. Art. 47 - Quando exigível depósito ou pagamento de quaisquer ônus financeiros ou cambiais, a tramitação do despacho aduaneiro ficará sujeita à prévia satisfação da mencionada exigência. Art. 48 - Na hipótese de mercadoria, cuja importação esteja sujeita a restrições especiais distintas das de natureza cambial, que chegar ao País com inobservância das formalidades pertinentes, a autoridade aduaneira procederá de acordo com as leis e regulamentos que hajam estabelecido as referidas restrições. Art. 49 - O despacho aduaneiro poderá ser efetuado em zona primária ou em outros locais admitidos pela autoridade aduaneira. Art. 50 - A verificação da mercadoria, no curso da conferência aduaneira em qualquer outra ocasião, será realizada por Auditor-Fiscal do Tesouro Nacional, na presença do importador ou de seu representante, e se estenderá sobre toda a mercadoria importada, ou parte dela, conforme critéri os fixados em regulamento. Art. 51 - Concluída a conferência aduaneira, sem exigência fiscal relativamente a valor aduaneiro, classificação ou outros elementos do despacho, a mercadoria será desembaraçada e posta à disposição do importador. § 1° - Se, no curso da conferência aduaneira, houver exigência fiscal na forma deste artigo, a mercadoria poderá ser desembaraçada, desde que, na forma do regulamento, sejam adotadas as indispensáveis cautelas fiscais. § 2° - O regulamento disporá sobre os casos em que a mercadoria poderá ser posta à disposição do importador antecipadamente ao desembaraço. Art. 52 - O regulamento poderá estabelecer procedimentos para simplificação do despacho aduaneiro. Parágrafo único. A utilização dos procedimentos de que trata este artigo constituirá tratamento especial que poderá ser extinto, cassado ou suspenso, por conveniência administrativa ou por inobservância das regras estabelecidas. Art. 53 - O Ministro da Fazenda poderá autorizar a adoção, em casos determinados, de procedimentos especiais com relação à mercadoria introduzida no País sob fundada suspeita de ilegalidade, com o fim específico de facilitar a identificação de eventuais responsáveis. SEÇÃO II - Conclusão do Despacho Art. 54 - A apuração da regularidade do pagamento do imposto e demais gravames devidos à Fazenda Nacional ou do benefício fiscal aplicado, e da exatidão das informações prestadas pelo importador será realizada na forma que estabelecer o regulamento e processada no prazo de 5 (cinco) anos, contado do registro da declaração de que trata o art. 44 deste Decreto-lei. CAPÍTULO IV - Normas Especiais de Controle Aduaneiro das Mercadorias SEÇÃO I - Mercadoria Proveniente de Naufrágios e outros Acidentes Art. 55 - A mercadoria lançada às costas e praias interiores, por força de naufrágio das embarcações ou de medidas de segurança de sua navegação, e a que seja reco lhida em águas territoriais, deverá ser encaminhada à repartição aduaneira mais próxima. § 1° - Aplica-se a norma deste artigo, no que couber: a) à mercadoria lançada ao solo ou às águas territoriais, por aeronaves, ou nestas recolhida, em virtude de sinistro ou pouso de emergência; b) a eventos semelhantes, nos transportes terrestres. § 2° - A disposição deste artigo alcança apenas o veículo em viagem internacional, salvo quanto à mercadoria estrangeira sob regime de trânsito aduaneiro. Art. 56 - A repartição aduaneira fará notificar o proprietário da mercadoria para despachá-la no prazo de 60 (sessenta) dias, sob pena de ser havida como abandonada. Parágrafo único. A questão suscita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2026-09-11T00:11:20.520Z</dcterms:created>
  <dcterms:modified xsi:type="dcterms:W3CDTF">2026-09-11T00:11:20.520Z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