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p>
      <w:r>
        <w:t xml:space="preserve">03. REORGANIZA OS SERVIÇOS ADUANEIROS</w:t>
      </w:r>
    </w:p>
    <w:p/>
    <w:p>
      <w:pPr>
        <w:pStyle w:val="Heading2"/>
      </w:pPr>
      <w:r>
        <w:rPr>
          <w:b/>
          <w:bCs/>
        </w:rPr>
        <w:t xml:space="preserve">Ementa</w:t>
      </w:r>
    </w:p>
    <w:p>
      <w:r>
        <w:t xml:space="preserve">Art. 101 - Não será aplicada penalidade, enquanto prevalecer o entendimento, a quem proceder ou pagar o imposto: I - de acordo com interpretação fiscal constante de decisão irrecorrível de última instância administrativa, proferida em processo fiscal inclusive de consulta, seja o interessado parte ou não; II - de acordo com interpretação fiscal constante de decisão de primeira instância proferida em processo fiscal, inclusive de consulta, em que o interessado for parte; III - de acordo com interpretação fiscal constante de circular, instrução, portaria, ordem de serviço e outros atos interpretativos baixados pela autoridade fazendária competente. Art. 102 - A denúncia espontânea da infração, acompanhada, se for o caso, do pagamento do imposto e dos acréscimos, excluirá a imposição da correspondente penalidade. § 1° - Não se considera espontânea a denúncia apresentada: a) no curso do despacho aduaneiro, até o desembaraço da mercadoria; b) após o início de qualquer outro procedimento fiscal, mediante ato de ofício, escrito, praticado por servidor competente, tendente a apurar a infração. § 2° - A denúncia espontânea exclui somente as penalidades de natureza tributária. Art. 103 - A aplicação da penalidade fiscal, e seu cumprimento, não elidem, em caso algum, o pagamento dos tributos devidos e a regularização cambial nem prejudicam a aplicação das penas cominadas para o mesmo fato pela legislação criminal e especial. SEÇÃO III - Perda do Veículo Art. 104 - Aplica-se a pena de perda do veículo nos seguintes casos: I - quando o veículo transportador estiver em situação ilegal, quanto às normas que o habilitem a exercer a navegação ou o transporte internacional correspondente à sua espécie; II - quando o veículo transportador efetuar operação de descarga de mercadoria estrangeira ou a carga de mercadoria nacional ou nacionalizada fora do porto, aeroporto ou outro local para isso hab ilitado; III - quando a embarcação atracar a navio ou quando qualquer veículo, na zona primária, se colocar nas proximidades de outro, vindo um deles do exterior ou a eles destinado, de modo a tornar possível o transbordo de pessoa ou carga, sem observância das normas legais e regulamentares; IV - quando a embarcação navegar dentro do porto, sem trazer escrito, em tipo destacado e em local visível do casco, seu nome de registro; V - quando o veículo conduzir mercadoria sujeita à pena de perda, se pertencente ao responsável por infração punível com aquela sanção; VI - quando o veículo terrestre utilizado no trânsito de mercadoria estrangeira desviar-se de sua rota legal, sem motivo justificado: a) no caso do inciso II, a pena de perda da mercadoria; b) no caso do inciso III, a pena de multa de Cr$ 5.000 a Cr$ 10.000 por passageiro ou tripulante conduzido pelo veículo que efetuar a operação proibida, além da perda da mercadoria que transportar. SEÇÃO IV - Perda da Mercadoria Art. 105 - Aplica-se a pena de perda da mercadoria: I - em operação de carga já carregada, em qualquer veículo ou dele descarregada ou em descarga, sem ordem, despacho ou licença, por escrito da autoridade aduaneira ou não cumprimento de outra formalidade especial estabelecida em texto normativo; II - incluída em listas de sobressalentes e previsões de bordo quando em desacordo, quantitativo ou qualificativo, com as necessidades do serviço e do custeio do veículo e da manutenção de sua tripulação e passageiros; III - oculta, a bordo do veículo ou na zona primária, qualquer que seja o processo utilizado; IV - existente a bordo do veículo, sem registro um manifesto, em documento de efeito equivalente ou em outras declarações; V - nacional ou nacionalizada em grande quantidade ou de vultoso valor, encontrada na zona de vigilância aduaneira, em circunstâncias que tornem evidente destinar-se a exportação clandestina; VI - estrangeira ou na cional, na importação ou na exportação, se qualquer documento necessário ao seu embarque ou desembaraço tiver sido falsificado ou adulterado; VII - nas condições do inciso anterior possuída a qualquer título ou para qualquer fim; VIII - estrangeira que apresente característica essencial falsificada ou adulterada, que impeça ou dificulte sua identificação, ainda que a falsificação ou a adulteração não influa no seu tratamento tributário ou cambial; IX - estrangeira, encontrada ao abandono, desacompanhada de prova de pagamento dos tributos aduaneiros, salvo as do art. 58; X- estrangeira, exposta à venda, depositada ou em circulação comercial no pa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2026-06-17T14:04:26.591Z</dcterms:created>
  <dcterms:modified xsi:type="dcterms:W3CDTF">2026-06-17T14:04:26.591Z</dcterms:modified>
</cp:coreProperties>
</file>

<file path=docProps/custom.xml><?xml version="1.0" encoding="utf-8"?>
<Properties xmlns="http://schemas.openxmlformats.org/officeDocument/2006/custom-properties" xmlns:vt="http://schemas.openxmlformats.org/officeDocument/2006/docPropsVTypes"/>
</file>