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DE RENDA</w:t>
      </w:r>
    </w:p>
    <w:p>
      <w:r>
        <w:rPr>
          <w:i/>
          <w:iCs/>
          <w:color w:val="666666"/>
        </w:rPr>
        <w:t xml:space="preserve">FÉRIAS E LICENÇA-PRÊMIO NÃO GOZADAS</w:t>
      </w:r>
    </w:p>
    <w:p/>
    <w:p>
      <w:r>
        <w:rPr>
          <w:b/>
          <w:bCs/>
        </w:rPr>
        <w:t xml:space="preserve">Recurso: </w:t>
      </w:r>
      <w:r>
        <w:t xml:space="preserve">RE 38.931</w:t>
      </w:r>
    </w:p>
    <w:p/>
    <w:p>
      <w:r>
        <w:t xml:space="preserve">ATIVIDADE PROFISSIONAL — SE ESTÁ ISENTA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está isenta do imposto de renda a atividade profissional do arquiteto. Referência: - Const. Fed., artigos 141, § 19, e 203; - Cód. Civ., artigos 649 e segs.; - Lei nº 3.470, de 28.11.58, artigo 101; - Decreto nº 47.373, de 07.12.59, artigos 1º e 6º ERE 38.931, de 21.09.62 (D. de Just. de 05.09.63, p. 812). Aprovada em Sessão de 13-12-1963 - pág. 64 EMENTÁRIO FORENSE. Janeiro, 1965. Ano XVII. Nº 194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2026-07-28T02:36:50.746Z</dcterms:created>
  <dcterms:modified xsi:type="dcterms:W3CDTF">2026-07-28T02:36:50.746Z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