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MS 101.704</w:t>
      </w:r>
    </w:p>
    <w:p/>
    <w:p>
      <w:r>
        <w:t xml:space="preserve">EXCESSO DE RETIRADA DE SEUS DIRIGENTES — SE SOBRE ELE INCIDE O TRIBUTO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COOPERATIVAS NÃO ESTÃO SUJEITAS A TRIBUTAÇÃO DO IMPOSTO DE RENDA POR EXCESSO DE RETIRADA DE SEUS DIRIGENTES Referência: - Incidente de Uniformidade de Jurisprudência na AMS 101.704 - RS, Segunda Seção, - Lei 5.764, de 16-12-71, arts. 85, 86, 89 e 111. - Decreto 85.450, de 4-12-89, art. 129. Segunda Seção, em 28-3-89 -DJ 6-4-89, pág. 4.875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2026-07-27T23:58:08.022Z</dcterms:created>
  <dcterms:modified xsi:type="dcterms:W3CDTF">2026-07-27T23:58:08.022Z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