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MS 101.704</w:t>
      </w:r>
    </w:p>
    <w:p/>
    <w:p>
      <w:r>
        <w:t xml:space="preserve">EXCESSO DE RETIRADA DE SEUS DIRIGENTES — SE SOBRE ELE INCIDE O TRIBUTO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COOPERATIVAS NÃO ESTÃO SUJEITAS A TRIBUTAÇÃO DO IMPOSTO DE RENDA POR EXCESSO DE RETIRADA DE SEUS DIRIGENTES Referência: - Incidente de Uniformidade de Jurisprudência na AMS 101.704 - RS, Segunda Seção, - Lei 5.764, de 16-12-71, arts. 85, 86, 89 e 111. - Decreto 85.450, de 4-12-89, art. 129. Segunda Seção, em 28-3-89 -DJ 6-4-89, pág. 4.875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2026-10-26T02:35:25.549Z</dcterms:created>
  <dcterms:modified xsi:type="dcterms:W3CDTF">2026-10-26T02:35:25.549Z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