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REPRESENTANTE COMERCIAL</w:t>
      </w:r>
    </w:p>
    <w:p/>
    <w:p>
      <w:r>
        <w:rPr>
          <w:b/>
          <w:bCs/>
        </w:rPr>
        <w:t xml:space="preserve">Recurso: </w:t>
      </w:r>
      <w:r>
        <w:t xml:space="preserve">re -</w:t>
      </w:r>
    </w:p>
    <w:p/>
    <w:p>
      <w:r>
        <w:t xml:space="preserve">RENDIMENTOS DE BENEFICIÁRIOS RESIDENTES OU DOMICILIADOS NO EXTERIOR — INCIDÊNCIA - DISPÕE SOBRE</w:t>
      </w:r>
    </w:p>
    <w:p/>
    <w:p>
      <w:pPr>
        <w:pStyle w:val="Heading2"/>
      </w:pPr>
      <w:r>
        <w:rPr>
          <w:b/>
          <w:bCs/>
        </w:rPr>
        <w:t xml:space="preserve">Ementa</w:t>
      </w:r>
    </w:p>
    <w:p>
      <w:r>
        <w:t xml:space="preserve">LEI Nº 9.481, DE 13 DE AGOSTO DE 1997 Dispõe sobre a incidência de imposto de renda na fonte sobre rendimentos de beneficiários residentes ou domiciliados no exterior, e dá outras providências. Faço saber que o Presidente da República adotou a Medida Provisória nº 1.563-7, de 1997, que o Congresso Nacional aprovou, e eu, Antonio Carlos Magalhães, Presidente, para os efeitos do disposto no parágrafo único do art. 62 da Constituição Federal, promulgo a seguinte Lei: Art. 1º Relativamente aos fatos geradores ocorridos no ano-calendário de 1997, a alíquota do imposto de renda na fonte incidente sobre os rendimentos auferidos no País, por residentes ou domiciliados no exterior, fica reduzida para zero, nas seguintes hipóteses: I - receitas de fretes, afretamentos, aluguéis ou arrendamentos de embarcações marítimas ou fluviais ou de aeronaves estrangeiras, feitos por empresas, desde que tenham sido aprovados pelas autoridades competentes, bem assim os pagamentos de aluguel de containers, sobrestadia e outros relativos ao uso de serviços de instalações portuárias; II - comissões pagas por exportadores a seus agentes no exterior; III - valores pagos, creditados, entregues, empregados ou remetidos para o exterior, exclusivamente para pagamento das despesas com promoção, propaganda e pesquisas de mercado, de serviços e produtos brasileiros, inclusive aluguéis e arrendamentos de stands e locais para exposições, feiras e conclaves semelhantes, bem como as de instalação e manutenção de escritórios comerciais e de representação, de armazéns, depósitos ou entrepostos;(Redação dada pela MP 428 de 12-05-2008) IV - valores correspondentes a operações de cobertura de riscos de variações, no mercado internacional, de taxas de juros, de paridade entre moedas e de preços de mercadorias (hedge); V - valores correspondentes aos pagamentos de contraprestação de arrendamento mercantil de bens de capital, celebrados com entidades merca ntil de bens de capital, celebrados com entidades domiciliadas no exterior; VI - comissões e despesas incorridas nas operações de colocação, no exterior, de ações de companhias abertas, domiciliadas no Brasil, desde que aprovadas pelo Banco Central do Brasil e pela Comissão de Valores Mobiliários; VII - solicitação, obtenção e manutenção de direitos de propriedade industriais, no exterior; VIII - juros decorrentes de empréstimos contraídos no exterior, em países que mantenham acordos tributários com o Brasil, por empresas nacionais, particulares ou oficiais, por prazo igual ou superior a quinze anos, à taxa de juros do mercado credor, com instituições financeiras tributadas em nível inferior ao admitido pelo crédito fiscal nos respectivos acordos tributários; IX - juros, comissões, despesas e descontos decorrentes de colocações no exterior, previamente autorizadas pelo Banco Central do Brasil, de títulos de crédito internacionais, inclusive comercial papers, desde que o prazo médio de amortização corresponda, no mínimo, a 96 meses; X - juros de desconto, no exterior, de cambiais de exportação e as comissões de banqueiros inerentes a essas cambiais; XI - juros e comissões relativos a créditos obtidos no exterior e destinados ao financiamento de exportações. XII - valores pagos, creditados, entregues, empregados ou remetidos para o exterior, pelo exportador brasileiro, relativos às despesas de armazenagem, movimentação e transporte de carga e emissão de documentos realizadas no exterior.(Acrescentado pela MP 428 de 12-05-2008) Parágrafo único. Nos casos dos incisos II, III, IV, VIII, X, XI e XII deverão ser observadas as condições, formas e prazos estabelecidos pelo Ministro de Estado da Fazenda. (Redação dada pela MP 428 de 12-05-2008) Art. 2º Aos contratos em vigor em 31 de dezembro de 1996, relativos às operações relacionadas no artigo anterior, aplica-se o tratamento tributário da legislação vigente àquela data. Art. 3º O disposto no inciso XI e na alínea "a" do inciso XII do art. 9º da Lei nº 9.317, de 5 de dezembro de 1996, não se aplica, também, à pessoa jurídica situada exclusivamente em área de livre comércio. Art. 4º Os valores a que se refere o inciso II do § 3º do art. 42 da Lei nº 9.430, de 27 de dezembro de 1996, passam a ser de R$12.000,00 (doze mil reais) e R$80.000,00 (oitenta mil reais), respectivamente. Art. 5º Ficam convalidados os atos praticados com base na Medida Provisória nº 1.563-6, de 20 de junho de 1997. Art. 6º Esta Lei entra em vigor na data de sua publicação, produzindo efeitos a par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2026-07-28T06:36:31.904Z</dcterms:created>
  <dcterms:modified xsi:type="dcterms:W3CDTF">2026-07-28T06:36:31.904Z</dcterms:modified>
</cp:coreProperties>
</file>

<file path=docProps/custom.xml><?xml version="1.0" encoding="utf-8"?>
<Properties xmlns="http://schemas.openxmlformats.org/officeDocument/2006/custom-properties" xmlns:vt="http://schemas.openxmlformats.org/officeDocument/2006/docPropsVTypes"/>
</file>