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AGRAVO DE INSTRUMENTO</w:t>
      </w:r>
    </w:p>
    <w:p>
      <w:r>
        <w:rPr>
          <w:i/>
          <w:iCs/>
          <w:color w:val="666666"/>
        </w:rPr>
        <w:t xml:space="preserve">SUPERIOR TRIBUNAL DE JUSTIÇA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COSTA LEITE</w:t>
      </w:r>
    </w:p>
    <w:p/>
    <w:p>
      <w:r>
        <w:t xml:space="preserve">FORMAÇÃO DO INSTRUMENTO — RESPONSABILIDADE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Supremo Tribunal Federal, reiteradamente, vem decidindo que é do agravante o ônus de fiscalizar a formação do agravo de instrumento, examinando se todas as peças obrigatórias ali se encontram. A sua omissão acarreta o não conhecimento da inconformidade (RTJ 81/427; RTJ 87/855 e RTJ 97/1.129, Ag. 133.647-1 (AgRg), DJU 18-5-90, pág. 4.346 e Ag 136.107-7, DJU, 7-2-92, pág. 739). - Este Superior Tribunal de Justiça, reiteradas vezes, tem decidido sufragando idêntico entendimento (Ag. nº 201-SP, Rel. Min. COSTA LEITE, DJU de 27-9-89, pág. 15.101, Ag. nº 47-SP, Rel. Min. JOSÉ DANTAS, DJU de 22-6-89, pág. 10.921 e Ag. nº 506-PR, Rel. Min. JOSÉ DANTAS, DJU de 12-10-89, pág. 15.743). Ac. de 01-04-1992 Rev. do Sup. Tribunal de Justiça - Fevereiro de 1993 - Nº 42 - Pág. 33 EMFOR 543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Cabe ao advogado vigiar a formação do instrumento. Não é ônus do Relator neste STJ suprir a omissão da falta de traslado de peças essenciais, requisitando os autos originais.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2026-07-28T01:45:10.923Z</dcterms:created>
  <dcterms:modified xsi:type="dcterms:W3CDTF">2026-07-28T01:45:10.923Z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