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Agravo de Instrumento 715</w:t>
      </w:r>
    </w:p>
    <w:p/>
    <w:p>
      <w:r>
        <w:t xml:space="preserve">FALTA — CONVERSÃO DO JULGAMENTO EM DILIGÊNCIA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Serão obrigatoriamente trasladadas as peças consideradas necessárias. - A simples falta de alguma das peças indispensáveis à formação do agravo não importa no não conhecimento do recurso, podendo o relator, por despacho, convertê-lo em diligência. Referência: - Código de Processo Civil; arts. 523, parágrafo único e 557 - Agravo de Instrumento nº 715, de Ibirama; - Agravo de Instrumento nº 768, de Itajaí - Agravo de Instrumento nº 7.850, de Joinville. - Agravo de Instrumento nº 965, de Tijucas. - Agravo de Instrumento nº 1.339, de Maravilha. - Agravo de Instrumento nº 1.585, de Joinville. Jurisprudência Catarinense, 1987-Nº 58-Pág.14 NO MESMO SENTIDO: Súmula 235, Tr. Fed. de Recursos, Ac. de 9-4-87, in D.J. 28-4-87, p. 7.443, in EMENTÁRIO FORENSE, nº 467, como Nota referente ao DESPACHO DE INDEFERIMENTO DO RECURSO EXTRAORDINÁRIO.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2026-10-26T03:21:25.231Z</dcterms:created>
  <dcterms:modified xsi:type="dcterms:W3CDTF">2026-10-26T03:21:25.231Z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