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Julgado em: </w:t>
      </w:r>
      <w:r>
        <w:t xml:space="preserve">25/08/1986</w:t>
      </w:r>
    </w:p>
    <w:p/>
    <w:p>
      <w:r>
        <w:t xml:space="preserve">IMUNIDADE CONSTITUCIONAL — SE A ELA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primeiro lugar é preciso não esquecer que a imunidade e a isenção tributárias, pela sua natureza mesma - e até por disposição expressa do Código N. Tributário (art. 111) - só admitem exegese estrita. - No caso em exame pretende-se estender o tratamento da imunidade para além das fronteiras do art. 23, parágrafo 3º, da Constituição, com a redação da Emenda nº l, de 1969. - Contudo, um flash na cronologia dos textos parece enunciar, data vênia, o enfoque adequado do tema sob julgamento. - Em 1966, pela Lei nº 5.172, era editado o Código Tributário Nacional, onde o art. 36 dispunha: &lt;&lt;Art. 36 - Ressalvado o disposto no artigo seguinte o imposto não incide sobre a transmissão dos bens ou direitos referidos no artigo anterior: I - quando efetuada para sua incorporação ao patrimônio de pessoa jurídica em pagamento de capital nela subscrito; II - quando decorrente da incorporação ou da fusão de uma pessoa jurídica por outra ou com outra.&gt;&gt; - A esse tempo estava em vigor a Constituição de 1946, sob a Emenda 18, de 01-12-65, cujo teor era menos abrangente: &lt;&lt;Art. 9º ...................................................................................................................................... § 2º - O imposto não incide sobre a transmissão dos bens ou direitos referidos nesse artigo, para sua incorporação ao capital de pess oas jurídicas, salvo o daquelas cuja atividade preponderante, como definida em lei complementar, seja a venda ou a locação da propriedade imobiliária ou a cessão de direitos relativos à sua aquisição&gt;&gt;. - Sobreveio a Carta de 1967 e, no art. 24, parágrafo 3º, estabeleceu: &lt;&lt;Art. 24 ........................................................................................................................................ § 3º - O imposto a que se refere o nº I não incide sobre a transmissão de bens incorporados ao patrimônio de pessoa jurídica nem sobre a fusão, incorporação, extinção ou redução de capital de pessoas jurídicas, salvo se estas tiverem por atividades preponderantes...&gt;&gt;. - Com a superveniência da Emenda Constitucional nº 1, de 1969 a matéria foi assim tratada: &lt;&lt;Art. 23 ............................................................................................................................................................. § 3º - Imposto a que se refere o item I não incide sobre a transmissão de bens ou direitos incorporados ao patrimônio de pessoa jurídica em realização de capital, nem sobre a transmissão de bens ou direitos decorrentes de fusão, incorporação ou extinção de capital de pessoa jurídica, salvo se a atividade preponderante...&gt;&gt;. - A essa época vigorava a antiga lei das sociedades anônimas (DL nº 2.627, de 26-09-40) e o direito que ela exprimia apenas consagrava, ao lado da transformação (que significava o ato de passar de uma para outra espécie de sociedade, art. 149), a incorporação e a fusão (arts. 152 e 153). - Não parece difícil perceber que a disposição constitucional, ou melhor a matéria versada nos diversos textos que informaram as mutações por que passou o direito constitucional - desde a Constituição de 1946 até os nossos dias, sob a Carta de 1967, alterada em 1969 - não parece difícil sentir e compreender que os diversos textos da lei maior só podiam ter em vista a lei comercial então em vigor, isto é, as figuras que essa lei contemplava - a incorporação e a fusão das sociedades anônimas. - E tão-somente. - ................................................................................................................................................................ - Se só a lei das sociedades anônimas discrimina as três espécies, com estender à última - em tema de imunidade onde só a interpretação estrita é admissível e admitida - como estender à última o tratamento que a Constituição só confere às duas primeiras? - Como imaginar pudesse estar no espírito do legislador constituinte de 1969, a idéia de outorgar imunidade a uma figura nova do direito societário, que só apareceu tantos anos depois na lei comercial de 1976? Julgado em 26-08-1986 VENCIDO O DESEMBARGADOR PAULO ROBERTO DE A. FREITAS Arquivo do EMFOR, TJ/1.525 EMFOR 467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imunidade conferida pelo art. 23, parágrafo 3º, da Constituição sob a Emenda nº 01/69, não alcança os casos de cisão das sociedades porque essa nova figura, ou essa terceira espécie de formação do capital somente apareceu no direito positivo com a Lei nº 6.404, de 1976. - Não podia, pois, estar no pensamento do legislador constituinte de 1969 algo que somente apareceria anos mais tarde, na nova lei das sociedades por ações. - Imunidade e isenção não admitem interpretação extensiva ou analógica. (CTN, ar. 111).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2026-09-10T22:26:38.664Z</dcterms:created>
  <dcterms:modified xsi:type="dcterms:W3CDTF">2026-09-10T22:26:38.664Z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