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35.396</w:t>
      </w:r>
    </w:p>
    <w:p/>
    <w:p>
      <w:r>
        <w:t xml:space="preserve">ABERTURA DA SUCESSÃO — ALÍQUOTA VIGENTE AO TEMPO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de transmissão "causa mortis" é devido pela alíquota vigente ao tempo da abertura da sucessão. Referência: - Const. Fed., artigo 141, parágrafo 3º; - Cód. Civil, artigo 1.572 ERE 35.396, de 06.05.63. Súmula de Jurisprudência Predominante do Supremo Tribunal Federal - Aprovada em Sessão de 13-12-1963 - pág. 107 V. SÚMULA Nº 97, t. IMPOSTO SOBRE LUCRO IMOBILIÁRIO, st. PROMESSA DE VENDA - s. CELEBRAÇÃO ANTES DA VIGÊNCIA DA LEI QUE ELEVOU A ALÍQUOTA - SE É DEVIDA À ANTERIOR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2026-10-26T03:06:01.073Z</dcterms:created>
  <dcterms:modified xsi:type="dcterms:W3CDTF">2026-10-26T03:06:01.073Z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