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35.396</w:t>
      </w:r>
    </w:p>
    <w:p/>
    <w:p>
      <w:r>
        <w:t xml:space="preserve">ABERTURA DA SUCESSÃO — ALÍQUOTA VIGENTE AO TEMPO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imposto de transmissão "causa mortis" é devido pela alíquota vigente ao tempo da abertura da sucessão. Referência: - Const. Fed., artigo 141, parágrafo 3º; - Cód. Civil, artigo 1.572 ERE 35.396, de 06.05.63. Súmula de Jurisprudência Predominante do Supremo Tribunal Federal - Aprovada em Sessão de 13-12-1963 - pág. 107 V. SÚMULA Nº 97, t. IMPOSTO SOBRE LUCRO IMOBILIÁRIO, st. PROMESSA DE VENDA - s. CELEBRAÇÃO ANTES DA VIGÊNCIA DA LEI QUE ELEVOU A ALÍQUOTA - SE É DEVIDA À ANTERIOR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2026-06-17T14:02:59.523Z</dcterms:created>
  <dcterms:modified xsi:type="dcterms:W3CDTF">2026-06-17T14:02:59.523Z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