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35.396</w:t>
      </w:r>
    </w:p>
    <w:p/>
    <w:p>
      <w:r>
        <w:t xml:space="preserve">ABERTURA DA SUCESSÃO — ALÍQUOTA VIGENTE AO TEMPO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de transmissão "causa mortis" é devido pela alíquota vigente ao tempo da abertura da sucessão. Referência: - Const. Fed., artigo 141, parágrafo 3º; - Cód. Civil, artigo 1.572 ERE 35.396, de 06.05.63. Súmula de Jurisprudência Predominante do Supremo Tribunal Federal - Aprovada em Sessão de 13-12-1963 - pág. 107 V. SÚMULA Nº 97, t. IMPOSTO SOBRE LUCRO IMOBILIÁRIO, st. PROMESSA DE VENDA - s. CELEBRAÇÃO ANTES DA VIGÊNCIA DA LEI QUE ELEVOU A ALÍQUOTA - SE É DEVIDA À ANTERIOR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2026-09-10T22:26:39.213Z</dcterms:created>
  <dcterms:modified xsi:type="dcterms:W3CDTF">2026-09-10T22:26:39.213Z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