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USUCAPIÃO</w:t>
      </w:r>
    </w:p>
    <w:p/>
    <w:p>
      <w:r>
        <w:rPr>
          <w:b/>
          <w:bCs/>
        </w:rPr>
        <w:t xml:space="preserve">Recurso: </w:t>
      </w:r>
      <w:r>
        <w:t xml:space="preserve">RE 50.733</w:t>
      </w:r>
    </w:p>
    <w:p/>
    <w:p>
      <w:r>
        <w:t xml:space="preserve">BASE — VALOR DOS BENS À DATA DA AVALIAÇÃO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imposto de transmissão "causa mortis" é calculado sobre o valor dos bens na data da avaliação. Referência: - Cód. Proc. Civ., artigos 483 e 499. RE 50.733, de 24.07.62 (D. de Just. de 03.01.63, p. 58). Aprovada em Sessão de 13-12-1963 - pág. 71 EMENTÁRIO FORENSE. Janeiro, 1965. Ano XVII. Nº 194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2026-10-26T02:19:37.867Z</dcterms:created>
  <dcterms:modified xsi:type="dcterms:W3CDTF">2026-10-26T02:19:37.867Z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