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50.733</w:t>
      </w:r>
    </w:p>
    <w:p/>
    <w:p>
      <w:r>
        <w:t xml:space="preserve">BASE — VALOR DOS BENS À DATA DA AVALIAÇÃO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"causa mortis" é calculado sobre o valor dos bens na data da avaliação. Referência: - Cód. Proc. Civ., artigos 483 e 499. RE 50.733, de 24.07.62 (D. de Just. de 03.01.63, p. 58). Aprovada em Sessão de 13-12-1963 - pág. 71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2026-09-10T22:42:43.646Z</dcterms:created>
  <dcterms:modified xsi:type="dcterms:W3CDTF">2026-09-10T22:42:43.646Z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