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USUCAPIÃO</w:t>
      </w:r>
    </w:p>
    <w:p/>
    <w:p>
      <w:r>
        <w:rPr>
          <w:b/>
          <w:bCs/>
        </w:rPr>
        <w:t xml:space="preserve">Recurso: </w:t>
      </w:r>
      <w:r>
        <w:t xml:space="preserve">MS 10.009.</w:t>
      </w:r>
    </w:p>
    <w:p/>
    <w:p>
      <w:r>
        <w:t xml:space="preserve">IMUNIDADE FISCAL — COMPARECIMENTO COMO VENDEDORA - ENCARGO FISCAL DO COMPRADOR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Sendo vendedora uma autarquia, a sua imunidade fiscal não compreende o imposto de transmissão "inter vivos", que é encargo do comprador. Referência: - Const. Fed., artigo 31, V, "a"; - Dec.-Lei nº 6.016, de 22 de novembro de 1943 RMS 10.009. de 23.07.62. Súmula de Jurisprudência Predominante do Supremo Tribunal Federal - Aprovada em Sessão de 13-12-1963 - pág. 58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2026-09-10T22:26:50.730Z</dcterms:created>
  <dcterms:modified xsi:type="dcterms:W3CDTF">2026-09-10T22:26:50.730Z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