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10.280</w:t>
      </w:r>
    </w:p>
    <w:p/>
    <w:p>
      <w:r>
        <w:t xml:space="preserve">INCIDÊNCIA SOBRE O VALOR REAL DOS BENS TRANSMITIDOS — EXCLUSÃO DA CONSTRUÇÃO OU PARTE DELA REALIZADA PELO ADQUIRENTE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transmissão "inter vivos" não incide sobre a construção, ou parte dela, realizada pelo adquirente, mas sobre o que tiver sido construído ao tempo da alienação do terreno. Referência: Const. Fed., artigos 19, III e 29, II (Emend. Const. 5, de 21.11.61) RMS 10.280, de 17.08.62 (D. Just. de 16.11.62, p. 655); RMS 10.801, de 22.04.63 (D. de Just. de 01.08.63, p. 417); RMS 10.588, de 22.04.63 (D. de Just. de 04.07.63, p. 479); AG 26.495, de 25.09.62; ERE 41.321, de 20.10.61; RE 55.884, de 05.06.64. Súmula de Jurisprudência Predominante do Supremo Tribunal Federal - Aprovada em Sessão de 13-12-1963 - pág. 107 V. a SÚMULA 470, t. IMPOSTO DE TRANSMISSÃO INTER VIVOS, st. ACESSÕES POSTERIORES À PROMESSA - s. INCIDÊNCIA DO TRIBUTO - SE É ADMISSÍVEL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2026-10-26T01:58:20.103Z</dcterms:created>
  <dcterms:modified xsi:type="dcterms:W3CDTF">2026-10-26T01:58:20.103Z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