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38.037</w:t>
      </w:r>
    </w:p>
    <w:p/>
    <w:p>
      <w:r>
        <w:t xml:space="preserve">INCIDÊNCIA SOBRE O VALOR DA ALIENAÇÃO E NÃO DA PROMESSA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decorre de doações de vários imóveis rurais que mãe fizera a diversos filhos, inclusive, à recorrente, situada as áreas em diferentes lugares. - Então, em cada área se constituiu um condomínio. - Tentando resolvê-lo os co-proprietários fizeram divisão amigável, onde, respeitado com rigor o valor de cada cota ideal, fora a cada um atribuída, materializada no solo, uma parte física. Assim, dissolveu-se o condomínio. - Ocorrendo isto, mesmo se as áreas se apresentem maiores ou menores - não importa - uma vez preservada a identidade dos valores de cota, nenhum imposto é devido. - Ressalte-se que até mesmo a diferenciação de dados nas guias e nas escrituras não determinaria a incidência, porque o fato se resume sem separar glebas, na propriedade em comum, mantidos os valores iguais das respectivas cotas. - Enfim, a quantidade de terras - aliás, heterogêneas - atribuída a cada um é irrelevante, pois a incidência ocorreria se a cada área se identificasse valor superior à cota ideal. Ac. de 20-04-1993 Jurisprudência Mineira - Julho a Setembro de 1993 - Vol. 123 - Pág. 77 EMFOR 546 É legítima a incidência do imposto de transmissão "inter vivos" sobre a doação de imóvel. Referência: - Constituição Federal, artigos 19, III, e 29, II - Emenda Constitucional 5, de 21 de novembro de 1961; - Código Civil artigo 1.165 RMS 8.039, de 24.04.61; RMS 8.259, de 16.05.62. RE 19.159, de 07.08.51 (D.J. de 13.04.53, p. 1.111). Aprovada em Sessão de 13-12-1963 - pág. 145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incidência do imposto de transmissão "inter vivos" sobre o valor do imóvel ao tempo da alienação, e não da promessa, na conformidade da legislação local. Referência: - Const. Fed., artigos 19, III e 29, II; - Emend. Const. 5, de 21.11.61 ERE 38.037, de 23.01.61; ERE 45.351, de 30.04.62; ERE 35.437, de 06.07.62; ERE 38.352, de 20.07.62. Aprovada em Sessão de 13-12-1963 - pág. 68 EMENTÁRIO FORENSE. Setembro, 1964. Ano XVI. Nº 191 EMENTA: - Se, quando da dissolução do condomínio, foi preservada a identidade do valor de cada cota ideal, não há que falar em incidência do ITBI, ainda que as áreas de apresentem maiores ou menores.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2026-09-10T22:27:36.372Z</dcterms:created>
  <dcterms:modified xsi:type="dcterms:W3CDTF">2026-09-10T22:27:36.372Z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