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37.375</w:t>
      </w:r>
    </w:p>
    <w:p/>
    <w:p>
      <w:r>
        <w:t xml:space="preserve">TRANSMISSÃO DO DOMÍNIO ÚTIL — INCIDÊNCIA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embargante objetiva a declaração da não incidência do imposto de transmissão "inter vivos" (ITBI), previsto no art. 156, II da Constituição da República, com fundamento no § 2º, I do mesmo dispositivo. - Este prescreve que o imposto não incide sofre a transmissão de bens e direitos incorporados ao patrimônio de pessoa jurídica em realização de capital, nem sobre a transmissão de bens e direitos decorrentes de fusão, incorporação ou extinção de pessoa jurídica, salvo se, nesses casos, a atividade preponderante do adquirente for a compra e venda desses bens ou direitos, locação de bens imóveis ou arrendamento mercantil. - Em 31.12.92 foi constituída a empresa C, por cisão parcial de LM ..., com a transferência para a primeira do imóvel situado na Rua ..., vindo a mesma a ser incorporada à embargante em 03.11.93. - A sentença do Juízo monocrático, com base em parecer elaborado por um Fiscal de Rendas da Secretaria Municipal de Fazenda, julgou improcedente a ação afirmando a ilustre prolatora que a empresa incorporada jamais realizou qualquer atividade, tendo existido apenas por quinze dias. Logo, o negócio almejado não era a incorporação, mas a transmissão do bem sem a tributação. - A tese foi aceita, por maioria, pela 4ª Câmara Cível entendendo o voto vencido que o art. 156, § 2º, I não estabelece prazo mínimo existencial para que uma sociedade seja objeto de cisão e em seguida incorporada a outra, de forma a se valer de isenção fis cal. - Bem examinado os autos, chega-se à conclusão que a razão está com a sentença e o acórdão. - Realmente, como diz o excelente parecer da Secretaria Municipal de Fazenda, o legislador constitucional pretendeu incentivar a capitalização de empresas, estimulando o desenvolvimento econômico e a geração de empregos, enfim, facilitando a circulação de bens. - Ora, a C foi constituída por instrumento particular, registrado em 15.10.93 e incorporada à embargante quinze dias depois. - Nunca exerceu qualquer atividade empresarial, como consta ... . - Na ata que decidiu a cisão, está consignado que o objetivo básico era o de segregar da sociedade aquele imóvel (fls....). - Afirma a embargante que a única hipótese da cobrança seria que a C ou incorporadora tivessem atividade preponderante de compra e venda de imóveis. - Tanto a embargante quanto a empresa cindida, LM ..., exercem atividades imobiliárias. A C, como já foi dito, nunca exerceu qualquer atividade. - SACHA CALMON NAVARRO COELHO, comentado o dispositivo em questão, diz que "a regra colima facilitar a mobilização dos bens de raiz e a sua posterior desmobilização, de modo a facilitar a formação, a transformação, a fusão, a cisão e a extinção de sociedades civis e comerciais, não embaraçando com o ITBI a movimentação dos imóveis, quando comprometidos com tais situações". - E arremata: "Isto posto, na formação do capital das sociedades é possível que alguns sócios realizem as partes a eles cabentes com imóveis. Nesse caso a operação é imune. Não há falar em ITBI". (Comentários à Constituição de 1988 - Sistema Tributário - 6ª ed., 1996, pág. 408). - Como entendeu o r. aresto, acolhendo a tese de Secretaria Municipal de Fazenda e da sentença, o benefício deve ser concedido a empresas que efetivamente pratiquem atividades econômicas, que não é o caso da C, que "somente existiu no papel", como assinalou a de cisão monocrática. - A regra geral, no que diz respeito ao recolhimento de tributo, é a incidência. - É princípio de hermenêutica que as exceções devem ter interpretação restrita. - Com essas considerações, nega-se provimento ao recurso. Ac. de 18-02-1998 Revista de Direito - Tr. Just. do Estado do Rio de Janeiro - vol 36 - 1998 - pág. 201 EMENTÁRIO FORENSE. Janeiro, 1999. Ano LI. Nº 602 EMENTA: - A Lei municipal estabeleceu alíquotas progressivas com fundamento no art. 145, parágrafo 1º, da CF, segundo o qual os impostos, sempre que possível, terão caráter pessoal e serão graduados segundo a capacidade econômica do contribuinte. - Quanto à alegação de ocorrência de confisco, não provada a onerosidade do imposto, de forma a se poder tê-lo, de plano, como se fosse confiscatório. RESUMO DO ACÓRDÃO: - Discut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legítima a incidência do imposto de transmissão de "inter vivos" sobre a transferência do domínio útil. Referência: - Constituição Federal, art. 19, III, e 29, II. - Emenda Constitucional 5, de 21 de novembro de 1961. - Código Civil, art. 678 ERE 37.375, de 22.07.63 (D.J. de 05.09.63, p. 811) RE 43.059, de 03.01.61 Aprovada em Sessão de 13-12-1963 EMFOR Nº 195 EMENTA: - A regra do art. 156 § 2º, II, da CF não se aplica se a sociedade resultante da cisão tem duração efêmera, sendo incorporada poucos dias após aquele ato, sem que tenha praticado qualquer atividade empresarial. A imunidade tributária concedida objetiva facilitar o desenvolvimento econômico das empresas, realizando o capital sem o reconhecimento do imposto. Não é o caso de sociedade que almeja basicamente transferir um imóvel à incorporadora.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2026-09-10T22:45:13.226Z</dcterms:created>
  <dcterms:modified xsi:type="dcterms:W3CDTF">2026-09-10T22:45:13.226Z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