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Recurso Extraordinário 94.580</w:t>
      </w:r>
    </w:p>
    <w:p/>
    <w:p>
      <w:r>
        <w:t xml:space="preserve">INOCORRÊNCIA DE TRANSMISSÃO — INCIDÊNCIA - INADMISSÍVEL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definiu o Colendo Supremo Tribunal Federal, em composição plena, quando do julgamento do Recurso Extraordinário nº 94.580 - RS, de que foi relator o Eminente Ministro DJACI FALCÃO, que, verbis: "Imposto de Transmissão de imóveis - Alcance das regras dos arts. 23, inc. I, da Constituição Federal e 35 do Código Tributário Nacional - Usucapião - A ocupação qualificada e continuada que gera o usucapião não importa em transmissão da Propriedade do bem. À legislação é vedado "alterar a definição, o conteúdo e o alcance dos institutos, conceitos e formas de direito privado" (art. 110 do CTN). Registro da sentença de usucapião sem pagamento do Imposto de Transmissão. - Recurso provido, declarando-se inconstitucional a letra h, do inc. I do art. 1º da Lei nº 5.384, de 27-12-66, do Estado do Rio Grande do Sul. ("RTJ", vol. 117, pág. 652). - A decisão tomada pelo Excelso Pretório, em 30-8-1984, a rigor não ficou exclusivamente cifrada à legislação do Estado do Rio Grande do Sul, assim porque também fixou e estabeleceu o alcance de regras maiores e hierarquicamente superiores (art. 23 inc. I da Constituição Federal e 35 do CTN), textos de que se originam e derivam as exigências de cada Estado-Membro, a esse propósito. Ac. de 17-09-1987 Jurisprudência Mineira - Vol. 97/100 - Jan./dez. 1987 - Pág. 105. EMFOR 489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aplicam ao usucapião as regras contidas nos artigos 23, inciso I, da Constituição Federal e 35 do Código Tributário Nacional, uma vez que a ocupação qualificada e continuada que gera tal instituto não importa em transmissão da propriedade do bem. Destarte, não há falar em pagamento do Imposto de Transmissão quando do registro de sentença de usucapião.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2026-06-17T14:06:47.182Z</dcterms:created>
  <dcterms:modified xsi:type="dcterms:W3CDTF">2026-06-17T14:06:47.182Z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