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IMPOSTO DE TRANSMISSÃO INTER VIVOS</w:t>
      </w:r>
    </w:p>
    <w:p>
      <w:r>
        <w:rPr>
          <w:i/>
          <w:iCs/>
          <w:color w:val="666666"/>
        </w:rPr>
        <w:t xml:space="preserve">USUCAPIÃO</w:t>
      </w:r>
    </w:p>
    <w:p/>
    <w:p>
      <w:r>
        <w:rPr>
          <w:b/>
          <w:bCs/>
        </w:rPr>
        <w:t xml:space="preserve">Recurso: </w:t>
      </w:r>
      <w:r>
        <w:t xml:space="preserve">RE 42.340</w:t>
      </w:r>
    </w:p>
    <w:p/>
    <w:p>
      <w:r>
        <w:t xml:space="preserve">INCIDÊNCIA — QUANDO NÃO SE LEGITIMA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Não é devido o imposto de lucro imobiliário, quando a alienação de imóvel adquirido por usucapião tiver sido anterior à vigência da Lei nº 3.470, de 28.11.58. Referência: - Lei citada, artigos 4º e 7º; - Dec.-Lei nº 9.330, de 10.06.46, artigo 2º RE 42.340, de 17.10.61. Aprovada em Sessão de 13-12-1963 - pág. 66 V. SÚMULA Nº 99, t. IMPOSTO SOBRE LUCRO IMOBILIÁRIO, st. BENS HAVIDOS A TÍTULO GRATUITO ... BENS HERDADOS - ... EMENTÁRIO FORENSE. Janeiro, 1965. Ano XVII. Nº 194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2026-10-26T01:59:49.591Z</dcterms:created>
  <dcterms:modified xsi:type="dcterms:W3CDTF">2026-10-26T01:59:49.591Z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