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8.721</w:t>
      </w:r>
    </w:p>
    <w:p/>
    <w:p>
      <w:r>
        <w:t xml:space="preserve">VENDA DE IMÓVEL — INCIDÊNCIA -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lucro imobiliário incide sobre a venda de imóvel da meação do cônjuge sobrevivente, ainda que aberta a sucessão antes da vigência da Lei nº 3.470, de 28.11.58. Referência: - Dec.-Lei nº 9.330, de 10.06.46, artigos 2º e 3º, - Lei nº 3.470, de 28.11.58, artigos 4º e 7º RMS 8.721, de 11.10.61; RMS 8.241, de 16.05.62; RE 33.667, de 31.10.61. Aprovada em Sessão de 13-12-1963 - pág. 65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2026-09-10T22:26:40.321Z</dcterms:created>
  <dcterms:modified xsi:type="dcterms:W3CDTF">2026-09-10T22:26:40.321Z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