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USUCAPIÃO</w:t>
      </w:r>
    </w:p>
    <w:p/>
    <w:p>
      <w:r>
        <w:rPr>
          <w:b/>
          <w:bCs/>
        </w:rPr>
        <w:t xml:space="preserve">Recurso: </w:t>
      </w:r>
      <w:r>
        <w:t xml:space="preserve">MS 9.470</w:t>
      </w:r>
    </w:p>
    <w:p/>
    <w:p>
      <w:r>
        <w:t xml:space="preserve">CELEBRAÇÃO ANTES DA VIGÊNCIA DA LEI QUE ELEVOU A ALÍQUOTA — SE É DEVIDA A ANTERIOR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devida a alíquota anterior do imposto de lucro imobiliário, quando a promessa de venda houver sido celebrada antes da vigência da lei que a tiver elevado. Referência: - Const. Fed., artigo 141, § 3º; - Lei nº 3.470, de 28.11.58, artigos 4º, § 4º, 79 e 81 RMS 9.470, de 09.05.62; ERE 49.504, de 14.06.63 (D. de Just. de 16.08.63, p. 717); RE 50.545, de 30.10.62. RE 50.541, de 04.09.62 (D. de Just. de 16.11.62, p. 755). Aprovada em Sessão de 13-12-1963 - pág. 65 V. SÚMULA Nº 112, t. IMPOSTO DE TRANSMISSÃO CAUSA MORTIS, st. CÁLCULO, s. ABERTURA DA SUCESSÃO - ALÍQUOTA VIGENTE AO TEMPO EMENTÁRIO FORENSE. Dezembro, 1964. Ano XVI. Nº 193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2026-09-10T22:27:19.840Z</dcterms:created>
  <dcterms:modified xsi:type="dcterms:W3CDTF">2026-09-10T22:27:19.840Z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