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Agravo de Instrumento 153.273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04/11/1997</w:t>
      </w:r>
    </w:p>
    <w:p/>
    <w:p>
      <w:r>
        <w:t xml:space="preserve">REQUISITOS — CERTIDÃO DE PUBLICAÇÃO DO ACÓRDÃO RECORRIDO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Neste agravo regimental limita-se a repetir tese já enfrentada no âmbito deste Tribunal e do Colendo STF, onde proclamado o dever de vigilância do agravante na formação do instrumento (RTJ 593/599), por isso que, inclusive reafirmada, naquele Pretório Excelso, a orientação da Súmula 288, que vem a ser complementada com freqüentes decisões sobre arrolar-se entre as peças obrigatórias à compreensão da controvérsia a certidão de publicação do acórdão recorrido. Neste sentido, a Questão de Ordem do Agravo Regimental em Agravo de Instrumento nº 153.273, julgado em 05.11.97 - Corte Especial do STJ: "A Corte Especial, por maioria, apreciando questão de ordem, decidiu ser indispensável para instrução do agravo de instrumento contra decisão denegatória de recurso especial a juntada de certidão de intimação do acórdão recorrido." - Em sendo assim, inobstante o esforço do agravante, nego provimento ao agravo regimental. Ac. de 19-03-1997 DJ de 06-04-1997 (Registro nº 97.0043126-6) Revista do Superior Tribunal de Justiça, nº 09, setembro de 1999, pág. 516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do agravante o ônus de fiscalizar a formação do instrumento. - Assentada jurisprudência sobre a obrigatoriedade do traslado da certidão de publicação do acórdão recorrido, sob pena de não conhecimento do agravo.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2026-10-26T03:03:47.934Z</dcterms:created>
  <dcterms:modified xsi:type="dcterms:W3CDTF">2026-10-26T03:03:47.934Z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