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153.273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04/11/1997</w:t>
      </w:r>
    </w:p>
    <w:p/>
    <w:p>
      <w:r>
        <w:t xml:space="preserve">REQUISITOS — CERTIDÃO DE PUBLICAÇÃO DO ACÓRDÃO RECORRIDO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agravo regimental limita-se a repetir tese já enfrentada no âmbito deste Tribunal e do Colendo STF, onde proclamado o dever de vigilância do agravante na formação do instrumento (RTJ 593/599), por isso que, inclusive reafirmada, naquele Pretório Excelso, a orientação da Súmula 288, que vem a ser complementada com freqüentes decisões sobre arrolar-se entre as peças obrigatórias à compreensão da controvérsia a certidão de publicação do acórdão recorrido. Neste sentido, a Questão de Ordem do Agravo Regimental em Agravo de Instrumento nº 153.273, julgado em 05.11.97 - Corte Especial do STJ: "A Corte Especial, por maioria, apreciando questão de ordem, decidiu ser indispensável para instrução do agravo de instrumento contra decisão denegatória de recurso especial a juntada de certidão de intimação do acórdão recorrido." - Em sendo assim, inobstante o esforço do agravante, nego provimento ao agravo regimental. Ac. de 19-03-1997 DJ de 06-04-1997 (Registro nº 97.0043126-6) Revista do Superior Tribunal de Justiça, nº 09, setembro de 1999, pág. 516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agravante o ônus de fiscalizar a formação do instrumento. - Assentada jurisprudência sobre a obrigatoriedade do traslado da certidão de publicação do acórdão recorrido, sob pena de não conhecimento do agravo.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2026-07-28T01:44:21.160Z</dcterms:created>
  <dcterms:modified xsi:type="dcterms:W3CDTF">2026-07-28T01:44:21.160Z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