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REsp 836</w:t>
      </w:r>
    </w:p>
    <w:p/>
    <w:p>
      <w:r>
        <w:t xml:space="preserve">INCIDÊNCIA — QUANDO SE LEGITIMA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ISS incide na operação de arrendamento mercantil de coisas móveis. Referência: Lei Complementar nº 56, de 15-12-87. Lei nº 6.099, de 12-9-74. Decreto-Lei nº 406, de 31-12-68, art. 8º. EREsp 836 - SP (1ª S. 07-12-93 - DJ 07-03-94). (*) EREsp 341 - SP (1ª S. 08-11-94 - DJ 08-05-95). REsp 5.438 - SP (1ª T. 04-02-91 - DJ 18-03-91). REsp 14.716 - SP (1ª T. 13-11-91 - DJ 03-02-92). Primeira Seção, sessão extraordinária de 16-5-1995 DJU de 22-5-1995, pág. 14.446 (*) "In" "EMFOR", Nº 549 EMFOR - Nº 558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2026-09-10T22:31:04.868Z</dcterms:created>
  <dcterms:modified xsi:type="dcterms:W3CDTF">2026-09-10T22:31:04.868Z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