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08/10/1985</w:t>
      </w:r>
    </w:p>
    <w:p/>
    <w:p>
      <w:r>
        <w:t xml:space="preserve">ARGUIÇÃO DE RAZÕES DE APELAÇÃO — INTEMPESTIVIDADE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Inicialmente cabe repelir a arguição de falsidade do documento... dos autos da execução. - Com efeito, o aludido documento veio instruindo a petição inicial, pelo que o incidente deveria ter sido levantado nos embargos opostos à execução. - Reza o art. 390 do C.P.C. que o incidente deve ser arguido na contestação ou no prazo de 10 (dez) dias, contados da intimação da juntada do documento nos autos. - No caso dos autos a arguição só se fez nas razões da apelação que julgou improcedente os embargos. - Manifesta, pois, a intempestividade do incidente da falsidade. - No mérito, não há como acolher-se o recurso, sabido que a prova dos autos deixa positivada a dívida que originou o título exequendo. Mantém-se a sentença que deu a devida solução à causa e cujas razões da apelação que julgou improcedentes os forma regimental. Julgado em 09-10-1985 Arquivo do EMFOR, TA/692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Intempestiva é a arguição de falsidade se o documento impugnado instruiu a petição inicial da ação de execução e o executado deixa de suscitar o incidente nos embargos para só fazê-lo em razões de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2026-07-27T22:52:08.425Z</dcterms:created>
  <dcterms:modified xsi:type="dcterms:W3CDTF">2026-07-27T22:52:08.425Z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