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Relator: </w:t>
      </w:r>
      <w:r>
        <w:t xml:space="preserve">NEGI CALIXTO</w:t>
      </w:r>
    </w:p>
    <w:p/>
    <w:p>
      <w:r>
        <w:t xml:space="preserve">SE PODE SER FEITA NO PRÓPRIO PEDIDO ALIMENTAR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caso semelhante, essa egrégia Câmara Cível já se manifestou: "a doutrina e a jurisprudência têm admitido que o filho ilegítimo pode acionar o pai para obter a prestação de alimentos, não sendo necessário que a filiação esteja reconhecida em ação de investigação de paternidade; basta a existência de fortes presunções de filiação alegada e verificadas na própria ação de alimentos." (AC 1.103/86, Ac. un. de 4-12-1986, Rel. Des. NEGI CALIXTO). - Vale ressaltar que a questão foi processada sob o rito ordinário e não sob o previsto na Lei nº 5.478/68. O Colendo Supremo Tribunal Federal, em casos tais, já admitiu que para a concessão de alimentos, é possível a cumulação de pedido de alimentos com a investigação de paternidade, desde que movida pelo rito ordinário. Ac. de 13-06-1990 Arquivo do EMFOR - TJ/2.159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necessidade de prévia investigação da paternidade para se intentar ação de alimentos, podendo a prova desta ser feita no próprio pedido alimentar.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2026-10-26T01:56:21.578Z</dcterms:created>
  <dcterms:modified xsi:type="dcterms:W3CDTF">2026-10-26T01:56:21.578Z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