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MS 14.710</w:t>
      </w:r>
    </w:p>
    <w:p/>
    <w:p>
      <w:r>
        <w:t xml:space="preserve">QUAL A QUE ENSEJA A INTERPOSIÇÃO DE RECURSO ORDINÁRIO OU EXTRAORDINÁRIO EM MANDADO DE SEGURANÇA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enseja a interposição de recurso ordinário ou extraordinário não é a do plenário que resolve o incidente de inconstitucionalidade, mas a do órgão (Câmaras, Grupos ou Turmas) que complete o julgamento do feito. Referência: C F de 1967, art. 111 Emenda Constitucional nº 1 de 17-10-1969, art. 116 C F de 1969, art. 116 RMS 14.710, de 30.05.68 (D.J. de 23.05.69); RMS 15.212, de 23.08.67 (R.T.J. 45/10). RE 59.250, de 10.04.69 (D.J. de 08.08.69). Sessão de 3-12-1969 DJ, 1969 - Dezembro - Pág. 5.948 -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2026-10-26T04:15:17.529Z</dcterms:created>
  <dcterms:modified xsi:type="dcterms:W3CDTF">2026-10-26T04:15:17.529Z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