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INCONSTITUCIONALIDADE DE LEI</w:t>
      </w:r>
    </w:p>
    <w:p>
      <w:r>
        <w:rPr>
          <w:i/>
          <w:iCs/>
          <w:color w:val="666666"/>
        </w:rPr>
        <w:t xml:space="preserve">AÇÃO INTERVENTIVA EM MUNICÍPIO</w:t>
      </w:r>
    </w:p>
    <w:p/>
    <w:p>
      <w:r>
        <w:rPr>
          <w:b/>
          <w:bCs/>
        </w:rPr>
        <w:t xml:space="preserve">Julgado em: </w:t>
      </w:r>
      <w:r>
        <w:t xml:space="preserve">12/05/1986</w:t>
      </w:r>
    </w:p>
    <w:p/>
    <w:p>
      <w:r>
        <w:t xml:space="preserve">SE OBSTA O SEU PROCESSAMENTO A INEXISTÊNCIA DE BENS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Com a devida vênia, este Relator sempre sustentou que a inexistência de bens, declarada na inicial, não é motivo para se negar a declaração de insolvência, especialmente para firmas civis, que não têm outro meio de provocar um concurso de credores, sendo-lhes vedado o uso da concordata preventiva. - Note-se, por sinal, como muito bem observado pela apelante, que o fato de inexistirem bens arrecadáveis não impede a declaração de falência do devedor comerciante e, posteriormente, da extinção de suas obrigações. O mesmo critério deve, com a devida vênia, ser estendido aos devedores civis, evitando-se, por uma questão de lógica, maiores despesas para os credores, com execuções inúteis. Habilitados, com nomeação de um administrador da massa, poderá este verificar a existência de bens da firma e, eventualmente, suscitar questões de alto interesse, como no caso presente, em que a sociedade é composta de marido e mulher, caso em que, eventualmente, os bens particulares poderiam responder pelas dívidas, matéria, porém, sujeita a discussão e decisão, como é óbvio. - Impedir-se, assim, o processamento do pedido, a formação do concurso de credores e a possibilidade de os devedores se verem livres de maiores vexames, com inúmeros processos sobrecarregando a Justiça, não parece lógico e razoável. - A posição dominante, adotada pela sentença, praticamente garante insolvência somente para os que têm com que pagar, pe lo menos parcialmente, os credores, não atendendo aos verdadeiramente insolventes. - Observa-se, ainda, que o espírito que norteou o legislador, ao inserir no Código de Processo Civil a insolvência civil, com disposições em tudo parecidas e semelhantes à insolvência comercial, evitando-se as demandas, inclusive com lucro para os credores, que simplesmente irão se habilitar, em lugar de gastar verdadeiras fábulas com custas e diligências inúteis. - O benefício é para o insolvente, sem distinção, e insolvente sem dúvida, o é o apelante, que como tal se declarou. - Dado provimento ao recurso. Julgado em 13-05-1986 VOTO VENCIDO DO DESEMBARGADOR ARY BELFORT - ... Define o art. 748 do Código de Processo Civil: &lt;&lt;Dá-se a insolvência toda vez que as dívidas excederem a importância dos bens do devedor&gt;&gt;. - São, pois, requisitos que haja bens e que as dívidas os superem em valor. - O legislador não quis incluir na fórmula processual de insolvência aquele que, tendo dívidas não possua coisa alguma. Voltarei a este assunto. O que importa, agora, é afiançar, sem receio de erro, que todo o sistema integrado no instituto conduz a essa ilação, fácil. Em todos os oito capítulos desse tít. IV não se encontra, por mínima, alguma expressão, nem mesmo implícita da idéia contrária. Tudo sem a mínima exceção, confirma e repisa a necessidade de existência de bens. Tudo. O digno sentenciante já teve ensejo de particularizar. - Mas, ao reverso, inexiste alguma palavra ou frase, a comportar a interpretação da aqui douta maioria. Nem há alusão seja no v. acórdão, seja no r. voto vencido. Fincam-se em considerações abstratas, apartadas da lei processual. - Não há possibilidade nenhuma de se equiparar a insolvência civil à comercial, com sua Lei de Falências. A circunstância de se denominar &lt;&lt;falência civil&gt;&gt; à respectiva insolvência tem caráter mais literário do que adequação terminológica. As equiparações são simplesmente impossíveis. Não é, pois, por a Lei de Falências possibilitar a falência de quem nada tenha que pelo mesmo fato assim se possa fazer na insolvência civil. - Dentre as centenas de razões é suficiente referir as conseqüências que adviriam a um falido que não tivesse coisa alguma por partilhar. Não se descure que existem crimes falimentares previstos para quem dilapide assim completamente o patrimônio; principalmente se, como no caso alienar todos os bens para efetivar pagamentos em privilégio. - Os créditos comerciais se contraem com a presunção, legítima, de honorabilidade do comerciante, regular e ostensivamente estabelecido. Daí o caráter publicístico de sua lei, destinada à universalidade de pessoas. A falência deixa de ser direito para passar a obrigação; de todos; inclusive do Juízo por onde corre e com a sadia assistência, sempre fecunda, do Ministério Público. A circunstância de não ter bem algum o devedor comercial não só enseja a quebra como impõe a maior brevidade na decretação. - Daí a se estender o princípio a devedor civil vai distancia imensurável. Os créditos civis revestem-se de outras características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Inteligência do art. 748 do Código de Processo Civil. - A declaração de inexistência de bens firmada na petição inicial de insolvência civil não obsta ao processamento do pedido, com a formação do concurso de credores, pois o espírito que norteou o legislador ao inserir no Código de Processo Civil tal figura, com disposições em tudo semelhantes às da insolvência comercial, foi exatamente o da economia processual, evitando-se demandas caras, com custas e diligências inúteis.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2026-09-10T23:34:00.101Z</dcterms:created>
  <dcterms:modified xsi:type="dcterms:W3CDTF">2026-09-10T23:34:00.101Z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