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Ap. Cível 40.348-7</w:t>
      </w:r>
    </w:p>
    <w:p/>
    <w:p>
      <w:r>
        <w:t xml:space="preserve">INEXIGIBILIDADE — APLICAÇÃO DA RESOLUÇÃO 1.129/86 DO BANCO CENTRAL DO BRASIL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reclamar quanto à multa a empresa apelante está com a razão. A multa avençada não é moratória. É compensatória. A cláusula 9ª do contrato dispõe: ... "No caso de o banco ter que recorrer a meios judiciais para cobrança ou liquidação de seu crédito, à creditada pagará mais 10% sobre o crédito a título de multa irredutível, independentemente dos honorários advocatícios que forem devidos" (sic). A Res. 1.129/86, do Banco Central do Brasil publicada no DOU de 16-5-086, foi retificada e republicada no dia 2-6-86, nos seguintes termos: "... não será permitida a cobrança de quaisquer quantias compensatórias pelo atraso...". Recentemente (29-5-91), esta Câmara inadmitiu a multa em situação similar. Trata-se de Ap. Cível 40.348-7, que relatei. Ac. de 07-08-1991 Revista dos Tribunais - Fevereiro de 1992 - Vol. 676 - Pág. 167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compensatória não pode ser exigida pelas instituições financeiras em "contratos bancários" por ela realizados. Só podem exigir a multa moratória. É o que estabelece a Res. 1.129/86 do Banco Central do Brasil, com retificação e republicação no DOU de 2-6-86.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2026-10-26T01:59:47.860Z</dcterms:created>
  <dcterms:modified xsi:type="dcterms:W3CDTF">2026-10-26T01:59:47.860Z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