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Recurso: </w:t>
      </w:r>
      <w:r>
        <w:t xml:space="preserve">Ap. Cível 40.348-7</w:t>
      </w:r>
    </w:p>
    <w:p/>
    <w:p>
      <w:r>
        <w:t xml:space="preserve">INEXIGIBILIDADE — APLICAÇÃO DA RESOLUÇÃO 1.129/86 DO BANCO CENTRAL DO BRASIL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reclamar quanto à multa a empresa apelante está com a razão. A multa avençada não é moratória. É compensatória. A cláusula 9ª do contrato dispõe: ... "No caso de o banco ter que recorrer a meios judiciais para cobrança ou liquidação de seu crédito, à creditada pagará mais 10% sobre o crédito a título de multa irredutível, independentemente dos honorários advocatícios que forem devidos" (sic). A Res. 1.129/86, do Banco Central do Brasil publicada no DOU de 16-5-086, foi retificada e republicada no dia 2-6-86, nos seguintes termos: "... não será permitida a cobrança de quaisquer quantias compensatórias pelo atraso...". Recentemente (29-5-91), esta Câmara inadmitiu a multa em situação similar. Trata-se de Ap. Cível 40.348-7, que relatei. Ac. de 07-08-1991 Revista dos Tribunais - Fevereiro de 1992 - Vol. 676 - Pág. 167 EMFOR 534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compensatória não pode ser exigida pelas instituições financeiras em "contratos bancários" por ela realizados. Só podem exigir a multa moratória. É o que estabelece a Res. 1.129/86 do Banco Central do Brasil, com retificação e republicação no DOU de 2-6-86.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2026-09-10T22:05:21.855Z</dcterms:created>
  <dcterms:modified xsi:type="dcterms:W3CDTF">2026-09-10T22:05:21.855Z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