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>
      <w:r>
        <w:rPr>
          <w:b/>
          <w:bCs/>
        </w:rPr>
        <w:t xml:space="preserve">Recurso: </w:t>
      </w:r>
      <w:r>
        <w:t xml:space="preserve">RE 52.404</w:t>
      </w:r>
    </w:p>
    <w:p/>
    <w:p>
      <w:r>
        <w:t xml:space="preserve">ASSISTÊNCIA MÉDICA E HOSPITALAR —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indevida a taxa de assistência médica e hospitalar das instituições de previdência social. Referência: - Resolução 26 do Senado de 02.12.59 (D. Oficial de 03.12.59); - Lei nº 2.755, de 16.04.56; - Decreto nº 39.515, de 06.07.56, artigo 1º, - Dec-Lei nº 2.122, de 09.04.40; artigo 18 RE 52.404, de 28.05.63. RMS 9.101, de 27.09.61; RMS 9.716, de 16.05.62; RMS 9.285, de 16.05.62; RMS 8.086, de 11.10.61. Súmula de Jurisprudência Predominante do Supremo Tribunal Federal - Aprovada em Sessão de 13-12-1963 - pág. 76 emfor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2026-10-26T01:59:48.043Z</dcterms:created>
  <dcterms:modified xsi:type="dcterms:W3CDTF">2026-10-26T01:59:48.043Z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