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Julgado em: </w:t>
      </w:r>
      <w:r>
        <w:t xml:space="preserve">07/05/1986</w:t>
      </w:r>
    </w:p>
    <w:p/>
    <w:p>
      <w:r>
        <w:t xml:space="preserve">A PARTIR DE QUANDO SE PRODUZEM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sentença constitutiva - Normalmente, o efeito de tal sentença é "ex nunc", atinge o futuro, a partir do trânsito em julgado da sentença. - O caso da interdição é um caso especial , porque os efeitos são "ex nunc", porém começam a atuar a partir da sentença, antes mesmo do trânsito em julgado (art. 1.184). - A sentença de interdição produz efeito a partir do ato de sua publicação. - Isto quer dizer que o interdito se submete imediatamente à curatela, tornando-se nulo qualquer ato praticado por ele, daí para frente. - Mas os atos praticados antes da publicação da sentença são apenas anuláveis, tudo dependendo da insanidade e do proveito possivelmente tirado pela parte contrária. - A jurisprudência firmou-se no sentido de que são anuláveis, &lt;&lt;mesmo no caso de ser notória a alienação, os atos praticados antes de ser o interdito, assim judicialmente declarado, são meramente anuláveis; nulos são apenas os atos praticados após a interdição&gt;&gt; (RF 81/396). - São anuláveis, e não nulos, os atos anteriores à decretação da interdição. - A incapacidade total para os atos da vida civil só começa a vigorar da data da sentença que o declara amental interdito. - Os atos anteriores à sentença ficam sujeitos à apreciação judicial, em cada caso concreto, dependendo que se prove que aquele que se obrigou, em atos civis ou comerciais, não estava, na ocasião , no uso e gozo de suas faculdades mentais (TJMG, j. 27-03-44, Embs. 1985, de Uberaba, rel. Des. AUTRAN DOURADO, Repertório de Jurisprudên cia do Código Civil, de Dimas R. de Almeida, nº 882, p. 641). - No processo de interdição e em sede de recurso, não se pode desconstituir ou declarar a nulidade de uma cessão de direitos, especialmente porque o cessionário não participa do presente procedimento. - Em homenagem ao princípio do contraditório, se impõe que o recurso não seja provido. - Nega-se, pois, provimento à apelação. Julgado em 08-05-1986 Revista dos Tribunais, Vol. 611 - Pág. 58.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 interdição produz efeito a partir de sua publicação, de forma que os atos praticados pelo interdito anteriormente a ela são apenas anuláveis, tudo dependendo da insanidade e do proveito possivelmente tido pela parte contrária. - Necessária, portanto, a propositura de outra ação para anulação dos referidos atos, na qual, pelo princípio do contraditório, participarão os interessados.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2026-09-10T22:05:27.834Z</dcterms:created>
  <dcterms:modified xsi:type="dcterms:W3CDTF">2026-09-10T22:05:27.834Z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