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/>
    <w:p>
      <w:r>
        <w:t xml:space="preserve">ORDEM ENUMERADA EM LEI — QUANDO PODE SER ALTERADA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preliminar de ilegitimidade ativa da requerenda não encontra apoio legal. - A preferência para promover interdição não impede que haja alteração na ordem enumerada em lei, se ocorrer qualquer motivo que desaconselhe o exercício do munus por aquele a quem, normalmente, caberia o direito de invocar a tutela judicial. - A mulher do interditando, como o atestam os autos em apenso, teve sua prisão decretada por apropriação de bens confiados à sua guarda, e, assim sendo, esse fato, por si só, constitui elemento negativo à função de Curadora. - Pode, pois, a autora promover a interdição paterna na ausência das pessoas nomeadas nos incisos I e II do art. 1.177 do CPC. Ac. de 17-09-1992 Jurisprudência Mineira - Outubro a Dezembro de 1992 - Vol. 120 - Pág. 173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preferência para promover interdição não impede que haja alteração na ordem enumerada em lei, se ocorrer qualquer motivo que desaconselhe o exercício do munus por aquele a quem, normalmente, caberia o direito de invocar a tutela judicial.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2026-09-10T22:05:23.900Z</dcterms:created>
  <dcterms:modified xsi:type="dcterms:W3CDTF">2026-09-10T22:05:23.900Z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