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ADVOGADO</w:t>
      </w:r>
    </w:p>
    <w:p>
      <w:r>
        <w:rPr>
          <w:i/>
          <w:iCs/>
          <w:color w:val="666666"/>
        </w:rPr>
        <w:t xml:space="preserve">RETIRADA DOS AUTOS DE CARTÓRIO</w:t>
      </w:r>
    </w:p>
    <w:p/>
    <w:p/>
    <w:p>
      <w:r>
        <w:t xml:space="preserve">REPRESENTANTE DA FAZENDA PÚBLICA — SE DEVE SER FEITA PESSOALMENTE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INTIMAÇÃO DO REPRESENTANTE JUDICIAL DA FAZENDA PÚBLICA, NOS EMBARGOS A EXECUÇÃO FISCAL, SERÁ FEITA PESSOALMENTE. Referências: - Incidente de Uniformização de Jurisprudência no Ag. 49.521 - AL, Segunda Seção, em 25-08-87. - Lei 6.830, de 22-09-80, art. 25. Segunda Seção, em 01-09-87 - DJ 04-09-87, p. 18.361 EMFOR 470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2026-10-26T03:06:15.420Z</dcterms:created>
  <dcterms:modified xsi:type="dcterms:W3CDTF">2026-10-26T03:06:15.420Z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