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/>
    <w:p>
      <w:r>
        <w:t xml:space="preserve">AUSÊNCIA DO NOME DA DEMANDADA — § 1º DO ART. 249 DO CPC - QUANDO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preliminar de nulidade de intimação e do processo ... não deve prosperar. - Ocorre que apesar de não ter sido observada rigorosamente a regra do art. 236, § 1º do CPC, ausente o nome da demandada no edital de intimação de seu advogado publicado no DJE de 04.03.94 para manifestar-se sobre as peças de fls. ..., constata-se que às fls. ..., em 30.06.93, o patrono da apelante tivera vista dos autos e os levara em carga, de modo que apenas o documento de fls. ... não foi por ele conhecido antes da prolação da sentença. - Todavia, na decisão impugnada o juízo de 1º grau sequer fez referência à certidão do cartório imobiliário de fls. ... de maneira que não há prejuízo à parte, aplicando-se neste caso a regra do art. 249, § 1º do estatuto processual Ac. de 26-08-1998 Arquivo do EMFOR, TJSC/N 2.083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que não se tenha observado rigorosamente o disposto no art. 236, § 1º do CPC, ausente o nome da demandada no edital de intimação de seu advogado publicado no órgão oficial, se o patrono teve vista dos autos e o fato não ensejou prejuízo à parte, aplica-se à hipótese, a regra do art. 249, § 1º do estatuto processual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2026-09-10T22:05:25.465Z</dcterms:created>
  <dcterms:modified xsi:type="dcterms:W3CDTF">2026-09-10T22:05:25.465Z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