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INVESTIGAÇÃO DE PATERNIDADE</w:t>
      </w:r>
    </w:p>
    <w:p>
      <w:r>
        <w:rPr>
          <w:i/>
          <w:iCs/>
          <w:color w:val="666666"/>
        </w:rPr>
        <w:t xml:space="preserve">HOMEM CASADO</w:t>
      </w:r>
    </w:p>
    <w:p/>
    <w:p/>
    <w:p>
      <w:r>
        <w:t xml:space="preserve">INDENIZAÇÃO — ARBITRAMENTO DO VALOR LOCATIVO - COMO SE FAZ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manter-se a data de 1º de abril de 1979 como termo "a quo" do arbitramento, forçosamente teríamos que determinar que os avaliadores estimassem o valor locativo do imóvel naquela data, estabelecendo-se que, a partir de então, o valor que viesse a ser encontrado ficasse sujeito às alterações sofridas pelos aluguéis em razão da legislação pertinente. - Ocorre, porém, que não há razão para adoção daquela data, embora o processo do inventário houvesse sido iniciado em setembro de 1979, os herdeiros requerentes do arbitramento só vieram aos autos em abril de 1984, data em que manifestaram o desejo de ver arbitrado o valor locativo. - O que se presume, em tais circunstâncias, é que, até abril de 1984, os herdeiros, ora agravados, concordaram com a ocupação do imóvel pelo inventariante e abriram mão do direito de exigir que ela pagasse aluguel. - Em tais condições, o arbitramento só poderá remontar a 2 de abril de 1984, que foi data em que os herdeiros, ora agravados, manifestaram o desejo de ver fixado o valor locativo do imóvel ocupado pela inventariante. Ac. de 25-08-1987 Arquivo do EMFOR, TJ/1.585 EMFOR 474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arbitramento de valor locativo de imóvel ocupado pela inventariante deve ser feito com base no valor locativo da época a que retroagirá a incidência, observa-se, a partir de então, as alterações ditadas pela legislação pertinente. (Ementa modificada pelo EMENTÁRIO FORENSE).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2026-10-26T04:36:34.891Z</dcterms:created>
  <dcterms:modified xsi:type="dcterms:W3CDTF">2026-10-26T04:36:34.891Z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