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49.164</w:t>
      </w:r>
    </w:p>
    <w:p/>
    <w:p>
      <w:r>
        <w:t xml:space="preserve">AGRAVO NÃO EMANADO DO APELANTE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no auto do processo deve ser apreciado no julgamento da apelação, ainda que o agravante não tenha apelado. Referência: - Cód. Proc. Civil, artigo 852 ERE 49.164, de 15.04.63 (D. de Just. de 27.06.63, p. 455); RE 37.543, de 26.12.57 (Rev. Trim. Jurisp. 5/171); RE 36.967, de 24.10.57 (Rev. Trim. Jurisp. 3/444); RE 49.164, de 17.04.62; RE 24.640, de 08.10.57 (Rev. Trim. Jurisp. 3/443). Aprovada em Sessão de 13-12-1963 - pág. 115 EMENTÁRIO FORENSE,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2026-07-28T02:08:05.560Z</dcterms:created>
  <dcterms:modified xsi:type="dcterms:W3CDTF">2026-07-28T02:08:05.561Z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