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>
      <w:r>
        <w:rPr>
          <w:b/>
          <w:bCs/>
        </w:rPr>
        <w:t xml:space="preserve">Recurso: </w:t>
      </w:r>
      <w:r>
        <w:t xml:space="preserve">Apelação 63.759.</w:t>
      </w:r>
    </w:p>
    <w:p>
      <w:r>
        <w:rPr>
          <w:b/>
          <w:bCs/>
        </w:rPr>
        <w:t xml:space="preserve">Julgado em: </w:t>
      </w:r>
      <w:r>
        <w:t xml:space="preserve">19/03/1986</w:t>
      </w:r>
    </w:p>
    <w:p/>
    <w:p>
      <w:r>
        <w:t xml:space="preserve">FACULDADE DE POSTULAR — QUANDO SUBSISTE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filhos ilegítimos classificam-se em: naturais e espúrios. São naturais ("naturalis tantum"), quando nascem de homem e de mulher entre os quais não existe impedimento matrimonial ("ex soluto et soluta"); espúrios, quando nascem de homem e mulher impedidos de se casarem a época da concepção. Se o impedimento decorre de parentesco próximo dos genitores, ou de afinidade, conforme enumeração constante do art. 183, ns. I a V, do Código Civil, os filhos se dizem incestuosos, se o impedimento se relaciona com a existência de casamento anterior de um dos genitores com outra pessoa e violação, destarte, de dever de fidelidade, os filhos são adulterinos ("Curso de Direito Civil", Direito de Família, WASHINGTON DE BARROS MONTEIRO, 22ª edição, pág. 249). - Dos autos se vê que o investigante nasceu em 18-12-84, sendo registrado em 26 do mesmo mês e ano. À evidência foi ele gerado em época que inexistia nenhum impedimento para que a autora e réu contraíssem matrimônio. Não houve qualquer violação ao dever de fidelidade, uma vez que o réu ainda não era casado, somente vindo a contrair matrimônio 11 dias após o nascimento do menor. - Estabelece o art. 363 do Código Civil que "os filhos ilegítimos de pessoas que não caibam no art. 183, ns. I a VI, tem ação contra os pais, ou seus herdeiros, para demandar o reconhecimento da filiação". Em face do texto legal, cabível é a ação de investigação de paternidade, ainda que na vigência do casamento do suposto pai, celebrado com outra, que não a mãe do ora recorrente, em época posterior ao nascimento. Inexiste qualquer motivo para o resguardo da família constituída pelo pretenso pai, que inspira a Le i nº 883/49. Nesse sentido, a jurisprudência de nossos Tribunais (conforme se vê "in" "RT", 527/96, 412/164, "Revista de Jurisprudência do TJSP", nº 33, pág. 28). Também esta Eg. Quarta Câmara Cível, em outras oportunidades já se manifestou sobre o assunto em pauta, tal como na Apelação nº 63.759. - Ante o exposto, e acolhendo ainda o parecer do digno Procurador de Justiça, reformo a decisão agravada, a fim de que o processo tenha normal prosseguimento como investigação de paternidade, tal como pedido na inicial. Julgado em 20-03-1986 Jurisprudência Mineira. Vol. 93 - Pág. 76 EMFOR 461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faculdade de postular ação de investigação de paternidade constante do art. 363 e incisos do Código Civil, subsiste ainda que o pretenso pai venha a se casar com pessoa que não a mãe do investigante, desde que o casamento ocorra em data posterior ao nascimento.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2026-10-26T04:15:31.624Z</dcterms:created>
  <dcterms:modified xsi:type="dcterms:W3CDTF">2026-10-26T04:15:31.624Z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