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HOMEM CASADO</w:t>
      </w:r>
    </w:p>
    <w:p/>
    <w:p/>
    <w:p>
      <w:r>
        <w:t xml:space="preserve">HERDEIROS DO INVESTIGADO E NÃO O ESPÓLIO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Ministério Público entendeu que cumulando-se petição de herança, justificava-se o chamamento do espólio. Assim não entendo. O que pleiteiam os autores é o reconhecimento da paternidade e, em conseqüência, figurar como co-herdeiros. A pretensão é oponível aos demais herdeiros não havendo nada que pudesse ser atendido pelo espólio. Esse, enquanto universalidade, não é atingido pela decisão. Os herdeiros é que o são. Merece esse recurso ser provido. Ac. de 22-10-1991 Revista do Sup. Tribunal de Justiça - Outubro, 1991 - Nº 26 - Pág. 406. NO MESMO SENTIDO: In "EMFOR" Nº 452. EMFOR 528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Falecido o que se pretende seja pai, como réus deverão figurar os herdeiros e não o espólio.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2026-09-11T00:09:28.234Z</dcterms:created>
  <dcterms:modified xsi:type="dcterms:W3CDTF">2026-09-11T00:09:28.234Z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