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>
      <w:r>
        <w:rPr>
          <w:b/>
          <w:bCs/>
        </w:rPr>
        <w:t xml:space="preserve">Recurso: </w:t>
      </w:r>
      <w:r>
        <w:t xml:space="preserve">RE 90.032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04/03/1985</w:t>
      </w:r>
    </w:p>
    <w:p/>
    <w:p>
      <w:r>
        <w:t xml:space="preserve">CUMULAÇÃO — EXCLUSÃO DO ÓBICE REGIMENTAL PELA PREVALÊNCIA DA AÇÃO DE ESTADO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mim parece que a ação é de ser considerada de estado, não havendo, deste modo, a impedir o extraordinário óbice previsto no art. 325 VIII, do RI/STF, ante o que dispõe a parte final do mesmo inciso. - É que embora na demanda seja pleiteada a anulação do inventário, a fim de que seja a autora contemplada também com a herança dos bens deixados por aqueles que ela sustenta serem seu pai e avô, o certo é que tal pleito decorre da pretensão, também deduzida, de ver a postulante reconhecido... seu progenitor, sendo neta, em consequência, do pai deste... ambos já falecidos. - Na oportunidade do julgamento do RE nº 90.032 - DF Relator o Sr. Ministro XAVIER DE ALBUQUERQUE, foi examinada por S. Exa., em erudito voto, questão preliminar - ante o óbice do art. 308, III, do então vigente RI/STF - qual a de se saber se a ação de alimentos deveria considerar-se como ação de estado, sendo a decisão no sentido de que não era ela de assim ser considerada. - Entretanto no seu voto, o Sr. Ministro Relator deixou consignada a seguinte observação, que aqui reproduzo pela sua adequação à hipótese, e posto que com ela concordo. Disse o nobre Ministro: "... quando a ação de alimentos trouxer consigo, em cumulação originária ou sucessiva, a declaratória da ocidental, reputar-se-á ação de estado, e ficará salvo à incidência do art. 308, VIII, do Regimento, a não ser que a questão proposta seja de caráter exclusivamente patrimonial, quando não à trouxer, estará sujeita a restrição regimental fundada no valor da causa". - Assim, na hipótese em que se discute a paternidade da autora - questão de estado - não há como t er-se aplicável o óbice do art. 325, VIII, do atual RI/STF, por haver pedido cumulativo de anulação da partilha dos bens deixados nos inventários daqueles que ela considera seu pai e seu avô... Julgado em 05-03-1985 Revista Trimestral de Jurisprudência. Vol. 114 - Pág. 1.108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ação proposta de investigação de paternidade cumulada com nulidade de partilha, há de se considerar excluído o extraordinário do óbice regimental referente à alçada (inc. VIII, do art. 325 do RI/STF), pela prevalência da ação de estado da qual o outro pedido é consequência.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2026-10-26T03:08:37.602Z</dcterms:created>
  <dcterms:modified xsi:type="dcterms:W3CDTF">2026-10-26T03:08:37.602Z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